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5A0D3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5B2820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70BEC" w:rsidRDefault="006337C1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August 29, 2016</w:t>
      </w:r>
    </w:p>
    <w:p w:rsidR="00370BEC" w:rsidRDefault="00370BEC" w:rsidP="00370BEC">
      <w:pPr>
        <w:ind w:left="720"/>
        <w:rPr>
          <w:sz w:val="22"/>
          <w:szCs w:val="22"/>
        </w:rPr>
      </w:pP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Ms. Tara Ingram-Hunter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City of Slidell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2055 Second Street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>Slidell, LA 70458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RE:</w:t>
      </w:r>
      <w:r w:rsidRPr="001255FD">
        <w:rPr>
          <w:sz w:val="22"/>
          <w:szCs w:val="22"/>
        </w:rPr>
        <w:tab/>
      </w:r>
      <w:r>
        <w:rPr>
          <w:sz w:val="22"/>
          <w:szCs w:val="22"/>
        </w:rPr>
        <w:t>Possum Hollow Park Basketball Court</w:t>
      </w:r>
    </w:p>
    <w:p w:rsidR="00370BEC" w:rsidRDefault="00370BEC" w:rsidP="00370BEC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Slidell, Louisiana</w:t>
      </w:r>
    </w:p>
    <w:p w:rsidR="00370BEC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Dear M</w:t>
      </w:r>
      <w:r>
        <w:rPr>
          <w:sz w:val="22"/>
          <w:szCs w:val="22"/>
        </w:rPr>
        <w:t>s</w:t>
      </w:r>
      <w:r w:rsidRPr="001255FD">
        <w:rPr>
          <w:sz w:val="22"/>
          <w:szCs w:val="22"/>
        </w:rPr>
        <w:t xml:space="preserve">. </w:t>
      </w:r>
      <w:r>
        <w:rPr>
          <w:sz w:val="22"/>
          <w:szCs w:val="22"/>
        </w:rPr>
        <w:t>Ingram-Hunter</w:t>
      </w:r>
      <w:r w:rsidRPr="001255FD">
        <w:rPr>
          <w:sz w:val="22"/>
          <w:szCs w:val="22"/>
        </w:rPr>
        <w:t>,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 xml:space="preserve">It was a pleasure to </w:t>
      </w:r>
      <w:r>
        <w:rPr>
          <w:sz w:val="22"/>
          <w:szCs w:val="22"/>
        </w:rPr>
        <w:t>speak</w:t>
      </w:r>
      <w:r w:rsidRPr="001255FD">
        <w:rPr>
          <w:sz w:val="22"/>
          <w:szCs w:val="22"/>
        </w:rPr>
        <w:t xml:space="preserve"> with you and discuss </w:t>
      </w:r>
      <w:r>
        <w:rPr>
          <w:sz w:val="22"/>
          <w:szCs w:val="22"/>
        </w:rPr>
        <w:t xml:space="preserve">the City’s </w:t>
      </w:r>
      <w:r w:rsidRPr="001255FD">
        <w:rPr>
          <w:sz w:val="22"/>
          <w:szCs w:val="22"/>
        </w:rPr>
        <w:t xml:space="preserve">plans for </w:t>
      </w:r>
      <w:r>
        <w:rPr>
          <w:sz w:val="22"/>
          <w:szCs w:val="22"/>
        </w:rPr>
        <w:t>adding a basketball court to the Possum Hollow Park</w:t>
      </w:r>
      <w:r w:rsidRPr="001255F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1255FD">
        <w:rPr>
          <w:sz w:val="22"/>
          <w:szCs w:val="22"/>
        </w:rPr>
        <w:t xml:space="preserve">Dammon Engineering is pleased to propose our </w:t>
      </w:r>
      <w:r>
        <w:rPr>
          <w:sz w:val="22"/>
          <w:szCs w:val="22"/>
        </w:rPr>
        <w:t>engineering services for this addition</w:t>
      </w:r>
      <w:r w:rsidRPr="001255FD">
        <w:rPr>
          <w:sz w:val="22"/>
          <w:szCs w:val="22"/>
        </w:rPr>
        <w:t>.</w:t>
      </w:r>
    </w:p>
    <w:p w:rsidR="00370BEC" w:rsidRDefault="00370BEC" w:rsidP="00370BEC">
      <w:pPr>
        <w:pStyle w:val="BodyText"/>
        <w:spacing w:after="0"/>
        <w:ind w:left="720" w:right="450"/>
        <w:rPr>
          <w:sz w:val="22"/>
          <w:szCs w:val="22"/>
        </w:rPr>
      </w:pPr>
    </w:p>
    <w:p w:rsidR="00370BEC" w:rsidRPr="00370BEC" w:rsidRDefault="00370BEC" w:rsidP="00370BEC">
      <w:pPr>
        <w:pStyle w:val="NormalWeb"/>
        <w:spacing w:before="0" w:beforeAutospacing="0" w:after="0" w:afterAutospacing="0"/>
        <w:ind w:left="720"/>
      </w:pPr>
      <w:r w:rsidRPr="00370BEC">
        <w:rPr>
          <w:sz w:val="22"/>
          <w:szCs w:val="22"/>
        </w:rPr>
        <w:t>Our design will include plans for removal of top soil, installation of adequate fill, foundation plan, installation of two goals (provided by owner) and a</w:t>
      </w:r>
      <w:r w:rsidR="00102974">
        <w:rPr>
          <w:sz w:val="22"/>
          <w:szCs w:val="22"/>
        </w:rPr>
        <w:t xml:space="preserve"> 6' </w:t>
      </w:r>
      <w:r w:rsidRPr="00370BEC">
        <w:rPr>
          <w:sz w:val="22"/>
          <w:szCs w:val="22"/>
        </w:rPr>
        <w:t>chain link fence with four gates.  No benches, landscaping or lighting is in</w:t>
      </w:r>
      <w:r w:rsidR="00CB1DFF">
        <w:rPr>
          <w:sz w:val="22"/>
          <w:szCs w:val="22"/>
        </w:rPr>
        <w:t>cluded in our design package.</w:t>
      </w:r>
      <w:r w:rsidRPr="00370BEC">
        <w:rPr>
          <w:sz w:val="22"/>
          <w:szCs w:val="22"/>
        </w:rPr>
        <w:t xml:space="preserve"> </w:t>
      </w:r>
    </w:p>
    <w:p w:rsidR="00370BEC" w:rsidRPr="00370BEC" w:rsidRDefault="00370BEC" w:rsidP="00370BEC">
      <w:pPr>
        <w:pStyle w:val="BodyText"/>
        <w:spacing w:after="0"/>
        <w:ind w:left="720" w:right="450"/>
        <w:rPr>
          <w:sz w:val="22"/>
          <w:szCs w:val="22"/>
        </w:rPr>
      </w:pP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propose a total </w:t>
      </w:r>
      <w:r>
        <w:rPr>
          <w:sz w:val="22"/>
          <w:szCs w:val="22"/>
        </w:rPr>
        <w:t>design</w:t>
      </w:r>
      <w:r w:rsidRPr="001255FD">
        <w:rPr>
          <w:sz w:val="22"/>
          <w:szCs w:val="22"/>
        </w:rPr>
        <w:t xml:space="preserve"> fee </w:t>
      </w:r>
      <w:r w:rsidR="008F6211">
        <w:rPr>
          <w:sz w:val="22"/>
          <w:szCs w:val="22"/>
        </w:rPr>
        <w:t>of $5000.</w:t>
      </w:r>
      <w:r w:rsidR="006337C1">
        <w:rPr>
          <w:sz w:val="22"/>
          <w:szCs w:val="22"/>
        </w:rPr>
        <w:t xml:space="preserve">00. </w:t>
      </w:r>
      <w:r w:rsidRPr="001255FD">
        <w:rPr>
          <w:sz w:val="22"/>
          <w:szCs w:val="22"/>
        </w:rPr>
        <w:t xml:space="preserve"> </w:t>
      </w:r>
      <w:r w:rsidR="00CB1DFF">
        <w:rPr>
          <w:sz w:val="22"/>
          <w:szCs w:val="22"/>
        </w:rPr>
        <w:t>Our fee will be billed according to the following schedule:</w:t>
      </w:r>
    </w:p>
    <w:p w:rsidR="00370BEC" w:rsidRDefault="00370BEC" w:rsidP="00370BEC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7"/>
        <w:gridCol w:w="1651"/>
        <w:gridCol w:w="2790"/>
      </w:tblGrid>
      <w:tr w:rsidR="00370BEC" w:rsidTr="00FF530D">
        <w:trPr>
          <w:trHeight w:val="377"/>
        </w:trPr>
        <w:tc>
          <w:tcPr>
            <w:tcW w:w="2867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PHASE</w:t>
            </w:r>
          </w:p>
        </w:tc>
        <w:tc>
          <w:tcPr>
            <w:tcW w:w="1651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790" w:type="dxa"/>
            <w:vAlign w:val="center"/>
          </w:tcPr>
          <w:p w:rsidR="00370BEC" w:rsidRDefault="00370BEC" w:rsidP="00FF530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NOT TO EXCEED AMOUNT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Preliminary Design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</w:t>
            </w:r>
            <w:r w:rsidR="006337C1">
              <w:t>500</w:t>
            </w:r>
            <w:r>
              <w:t>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Schematic Design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15%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</w:t>
            </w:r>
            <w:r w:rsidR="006337C1">
              <w:t>750</w:t>
            </w:r>
            <w:r>
              <w:t>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Construction Documents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35%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</w:t>
            </w:r>
            <w:r w:rsidR="006337C1">
              <w:t>1,750</w:t>
            </w:r>
            <w:r>
              <w:t>.00</w:t>
            </w:r>
          </w:p>
        </w:tc>
      </w:tr>
      <w:tr w:rsidR="00370BEC" w:rsidTr="00FF530D">
        <w:tc>
          <w:tcPr>
            <w:tcW w:w="2867" w:type="dxa"/>
          </w:tcPr>
          <w:p w:rsidR="00370BEC" w:rsidRDefault="00370BEC" w:rsidP="00FF530D">
            <w:pPr>
              <w:pStyle w:val="ListParagraph"/>
              <w:ind w:left="0"/>
            </w:pPr>
            <w:r>
              <w:t>Bidding and Contracts</w:t>
            </w:r>
          </w:p>
        </w:tc>
        <w:tc>
          <w:tcPr>
            <w:tcW w:w="1651" w:type="dxa"/>
          </w:tcPr>
          <w:p w:rsidR="00370BEC" w:rsidRDefault="00370BEC" w:rsidP="00FF530D">
            <w:pPr>
              <w:pStyle w:val="ListParagraph"/>
              <w:ind w:left="0"/>
              <w:jc w:val="center"/>
            </w:pPr>
            <w:r>
              <w:t>5%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</w:t>
            </w:r>
            <w:r w:rsidR="006337C1">
              <w:t>250</w:t>
            </w:r>
            <w:r>
              <w:t>.00</w:t>
            </w:r>
          </w:p>
        </w:tc>
      </w:tr>
      <w:tr w:rsidR="00370BEC" w:rsidTr="00FF530D">
        <w:tc>
          <w:tcPr>
            <w:tcW w:w="2867" w:type="dxa"/>
            <w:tcBorders>
              <w:bottom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t>Construction Administration</w:t>
            </w:r>
          </w:p>
        </w:tc>
        <w:tc>
          <w:tcPr>
            <w:tcW w:w="1651" w:type="dxa"/>
          </w:tcPr>
          <w:p w:rsidR="00370BEC" w:rsidRPr="008B4D31" w:rsidRDefault="00370BEC" w:rsidP="00FF530D">
            <w:pPr>
              <w:pStyle w:val="ListParagraph"/>
              <w:ind w:left="0"/>
              <w:jc w:val="center"/>
            </w:pPr>
            <w:r w:rsidRPr="008B4D31">
              <w:t xml:space="preserve">15% 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</w:t>
            </w:r>
            <w:r w:rsidR="006337C1">
              <w:t>750</w:t>
            </w:r>
            <w:r>
              <w:t>.00</w:t>
            </w:r>
          </w:p>
        </w:tc>
      </w:tr>
      <w:tr w:rsidR="00370BEC" w:rsidTr="00370BEC">
        <w:trPr>
          <w:trHeight w:val="332"/>
        </w:trPr>
        <w:tc>
          <w:tcPr>
            <w:tcW w:w="2867" w:type="dxa"/>
            <w:tcBorders>
              <w:top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t>Inspection</w:t>
            </w:r>
          </w:p>
        </w:tc>
        <w:tc>
          <w:tcPr>
            <w:tcW w:w="1651" w:type="dxa"/>
          </w:tcPr>
          <w:p w:rsidR="00370BEC" w:rsidRPr="006C2B76" w:rsidRDefault="00370BEC" w:rsidP="00370BEC">
            <w:pPr>
              <w:pStyle w:val="ListParagraph"/>
              <w:ind w:left="553"/>
              <w:rPr>
                <w:highlight w:val="yellow"/>
              </w:rPr>
            </w:pPr>
            <w:r w:rsidRPr="008B4D31">
              <w:t xml:space="preserve">20% 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</w:pPr>
            <w:r>
              <w:t>$1,</w:t>
            </w:r>
            <w:r w:rsidR="006337C1">
              <w:t>000</w:t>
            </w:r>
            <w:r>
              <w:t>.00</w:t>
            </w:r>
          </w:p>
        </w:tc>
      </w:tr>
      <w:tr w:rsidR="00370BEC" w:rsidTr="00FF530D">
        <w:trPr>
          <w:trHeight w:val="575"/>
        </w:trPr>
        <w:tc>
          <w:tcPr>
            <w:tcW w:w="2867" w:type="dxa"/>
            <w:tcBorders>
              <w:top w:val="single" w:sz="4" w:space="0" w:color="auto"/>
            </w:tcBorders>
          </w:tcPr>
          <w:p w:rsidR="00370BEC" w:rsidRPr="00CB1DFF" w:rsidRDefault="00370BEC" w:rsidP="00370BEC">
            <w:pPr>
              <w:pStyle w:val="ListParagraph"/>
              <w:rPr>
                <w:highlight w:val="yellow"/>
              </w:rPr>
            </w:pPr>
          </w:p>
        </w:tc>
        <w:tc>
          <w:tcPr>
            <w:tcW w:w="1651" w:type="dxa"/>
          </w:tcPr>
          <w:p w:rsidR="00370BEC" w:rsidRPr="00CB1DFF" w:rsidRDefault="00370BEC" w:rsidP="00FF530D">
            <w:pPr>
              <w:pStyle w:val="ListParagraph"/>
              <w:ind w:left="0"/>
              <w:jc w:val="center"/>
              <w:rPr>
                <w:highlight w:val="yellow"/>
              </w:rPr>
            </w:pPr>
          </w:p>
        </w:tc>
        <w:tc>
          <w:tcPr>
            <w:tcW w:w="2790" w:type="dxa"/>
          </w:tcPr>
          <w:p w:rsidR="00370BEC" w:rsidRPr="00CB1DFF" w:rsidRDefault="00370BEC" w:rsidP="00FF530D">
            <w:pPr>
              <w:pStyle w:val="ListParagraph"/>
              <w:ind w:left="252"/>
              <w:rPr>
                <w:highlight w:val="yellow"/>
              </w:rPr>
            </w:pPr>
          </w:p>
        </w:tc>
      </w:tr>
      <w:tr w:rsidR="00370BEC" w:rsidTr="00FF530D"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:rsidR="00370BEC" w:rsidRDefault="00370BEC" w:rsidP="00FF530D">
            <w:pPr>
              <w:pStyle w:val="ListParagraph"/>
              <w:ind w:left="0"/>
            </w:pPr>
            <w:r>
              <w:rPr>
                <w:b/>
              </w:rPr>
              <w:t>TOTAL LUMP SUM FEE</w:t>
            </w:r>
          </w:p>
        </w:tc>
        <w:tc>
          <w:tcPr>
            <w:tcW w:w="2790" w:type="dxa"/>
          </w:tcPr>
          <w:p w:rsidR="00370BEC" w:rsidRDefault="00370BEC" w:rsidP="006337C1">
            <w:pPr>
              <w:pStyle w:val="ListParagraph"/>
              <w:ind w:left="252"/>
              <w:rPr>
                <w:b/>
              </w:rPr>
            </w:pPr>
            <w:r>
              <w:rPr>
                <w:b/>
              </w:rPr>
              <w:t>$</w:t>
            </w:r>
            <w:r w:rsidR="006337C1">
              <w:rPr>
                <w:b/>
              </w:rPr>
              <w:t>5</w:t>
            </w:r>
            <w:r>
              <w:rPr>
                <w:b/>
              </w:rPr>
              <w:t>,</w:t>
            </w:r>
            <w:r w:rsidR="006337C1">
              <w:rPr>
                <w:b/>
              </w:rPr>
              <w:t>00</w:t>
            </w:r>
            <w:r>
              <w:rPr>
                <w:b/>
              </w:rPr>
              <w:t>0.00</w:t>
            </w:r>
          </w:p>
        </w:tc>
      </w:tr>
    </w:tbl>
    <w:p w:rsidR="00370BEC" w:rsidRDefault="00370BEC" w:rsidP="00370BEC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The above fee </w:t>
      </w:r>
      <w:r w:rsidRPr="001255FD">
        <w:rPr>
          <w:i/>
          <w:sz w:val="22"/>
          <w:szCs w:val="22"/>
        </w:rPr>
        <w:t>does</w:t>
      </w:r>
      <w:r w:rsidRPr="001255FD">
        <w:rPr>
          <w:sz w:val="22"/>
          <w:szCs w:val="22"/>
        </w:rPr>
        <w:t xml:space="preserve"> </w:t>
      </w:r>
      <w:r w:rsidRPr="001255FD">
        <w:rPr>
          <w:i/>
          <w:sz w:val="22"/>
          <w:szCs w:val="22"/>
        </w:rPr>
        <w:t>not</w:t>
      </w:r>
      <w:r w:rsidRPr="001255FD">
        <w:rPr>
          <w:sz w:val="22"/>
          <w:szCs w:val="22"/>
        </w:rPr>
        <w:t xml:space="preserve"> include the cost of soils analysis, drainage studies, </w:t>
      </w:r>
      <w:r w:rsidR="008F6211">
        <w:rPr>
          <w:sz w:val="22"/>
          <w:szCs w:val="22"/>
        </w:rPr>
        <w:t xml:space="preserve">surveys, </w:t>
      </w:r>
      <w:r w:rsidRPr="001255FD">
        <w:rPr>
          <w:sz w:val="22"/>
          <w:szCs w:val="22"/>
        </w:rPr>
        <w:t xml:space="preserve">wetlands determination, </w:t>
      </w:r>
      <w:r>
        <w:rPr>
          <w:sz w:val="22"/>
          <w:szCs w:val="22"/>
        </w:rPr>
        <w:t xml:space="preserve">permit fee </w:t>
      </w:r>
      <w:r w:rsidRPr="001255FD">
        <w:rPr>
          <w:sz w:val="22"/>
          <w:szCs w:val="22"/>
        </w:rPr>
        <w:t>or</w:t>
      </w:r>
      <w:r>
        <w:rPr>
          <w:sz w:val="22"/>
          <w:szCs w:val="22"/>
        </w:rPr>
        <w:t xml:space="preserve"> the cost of</w:t>
      </w:r>
      <w:r w:rsidRPr="001255FD">
        <w:rPr>
          <w:sz w:val="22"/>
          <w:szCs w:val="22"/>
        </w:rPr>
        <w:t xml:space="preserve"> other engineering studies that may be required by government agencies.</w:t>
      </w:r>
    </w:p>
    <w:p w:rsidR="00370BEC" w:rsidRPr="001255FD" w:rsidRDefault="00370BEC" w:rsidP="00370BEC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</w:p>
    <w:p w:rsidR="00370BEC" w:rsidRPr="001255FD" w:rsidRDefault="00370BEC" w:rsidP="00370BEC">
      <w:pPr>
        <w:tabs>
          <w:tab w:val="left" w:pos="1080"/>
        </w:tabs>
        <w:ind w:left="720" w:right="450"/>
        <w:rPr>
          <w:sz w:val="22"/>
          <w:szCs w:val="22"/>
        </w:rPr>
      </w:pPr>
      <w:r w:rsidRPr="001255FD">
        <w:rPr>
          <w:sz w:val="22"/>
          <w:szCs w:val="22"/>
        </w:rPr>
        <w:t xml:space="preserve">We appreciate the opportunity to propose our services </w:t>
      </w:r>
      <w:r>
        <w:rPr>
          <w:sz w:val="22"/>
          <w:szCs w:val="22"/>
        </w:rPr>
        <w:t xml:space="preserve">and we look forward to working with you on this </w:t>
      </w:r>
      <w:r w:rsidRPr="001255FD">
        <w:rPr>
          <w:sz w:val="22"/>
          <w:szCs w:val="22"/>
        </w:rPr>
        <w:t>project.  If you have any questions, or require any further information, please feel free to call.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Sincerely,</w:t>
      </w: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</w:p>
    <w:p w:rsidR="00370BEC" w:rsidRPr="001255FD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Chuck Dammon, VP</w:t>
      </w:r>
    </w:p>
    <w:p w:rsidR="00370BEC" w:rsidRDefault="00370BEC" w:rsidP="00370BEC">
      <w:pPr>
        <w:ind w:left="720"/>
        <w:rPr>
          <w:sz w:val="22"/>
          <w:szCs w:val="22"/>
        </w:rPr>
      </w:pPr>
      <w:r w:rsidRPr="001255FD">
        <w:rPr>
          <w:sz w:val="22"/>
          <w:szCs w:val="22"/>
        </w:rPr>
        <w:t>Dammon Engineering, Inc.</w: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CB1DFF">
      <w:footnotePr>
        <w:pos w:val="beneathText"/>
      </w:footnotePr>
      <w:type w:val="continuous"/>
      <w:pgSz w:w="12240" w:h="15840"/>
      <w:pgMar w:top="270" w:right="1350" w:bottom="72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7F" w:rsidRDefault="00C4027F" w:rsidP="00B84259">
      <w:r>
        <w:separator/>
      </w:r>
    </w:p>
  </w:endnote>
  <w:endnote w:type="continuationSeparator" w:id="0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7F" w:rsidRDefault="00C4027F" w:rsidP="00B84259">
      <w:r>
        <w:separator/>
      </w:r>
    </w:p>
  </w:footnote>
  <w:footnote w:type="continuationSeparator" w:id="0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A46DB"/>
    <w:rsid w:val="000B62A0"/>
    <w:rsid w:val="00102974"/>
    <w:rsid w:val="00136420"/>
    <w:rsid w:val="00183978"/>
    <w:rsid w:val="001B2127"/>
    <w:rsid w:val="00234824"/>
    <w:rsid w:val="002C2960"/>
    <w:rsid w:val="002E4973"/>
    <w:rsid w:val="00300EBF"/>
    <w:rsid w:val="00313213"/>
    <w:rsid w:val="003230A3"/>
    <w:rsid w:val="00370BEC"/>
    <w:rsid w:val="00426848"/>
    <w:rsid w:val="00430CA1"/>
    <w:rsid w:val="00464BE7"/>
    <w:rsid w:val="00472AAD"/>
    <w:rsid w:val="004D7FE4"/>
    <w:rsid w:val="00571E5D"/>
    <w:rsid w:val="005A0D3C"/>
    <w:rsid w:val="005B2820"/>
    <w:rsid w:val="005D44B9"/>
    <w:rsid w:val="00624E6C"/>
    <w:rsid w:val="006337C1"/>
    <w:rsid w:val="00656F37"/>
    <w:rsid w:val="007553E2"/>
    <w:rsid w:val="00791D4F"/>
    <w:rsid w:val="00795989"/>
    <w:rsid w:val="00797440"/>
    <w:rsid w:val="00890EF7"/>
    <w:rsid w:val="008C041B"/>
    <w:rsid w:val="008D02D5"/>
    <w:rsid w:val="008F6211"/>
    <w:rsid w:val="0092790E"/>
    <w:rsid w:val="009851DF"/>
    <w:rsid w:val="00A6306C"/>
    <w:rsid w:val="00A80AD2"/>
    <w:rsid w:val="00AF21AA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B1DFF"/>
    <w:rsid w:val="00D468DB"/>
    <w:rsid w:val="00D56E33"/>
    <w:rsid w:val="00DB1820"/>
    <w:rsid w:val="00F419E3"/>
    <w:rsid w:val="00F63886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D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851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9851DF"/>
    <w:pPr>
      <w:spacing w:after="120"/>
    </w:pPr>
  </w:style>
  <w:style w:type="paragraph" w:styleId="List">
    <w:name w:val="List"/>
    <w:basedOn w:val="BodyText"/>
    <w:semiHidden/>
    <w:rsid w:val="009851DF"/>
    <w:rPr>
      <w:rFonts w:cs="Tahoma"/>
    </w:rPr>
  </w:style>
  <w:style w:type="paragraph" w:styleId="Caption">
    <w:name w:val="caption"/>
    <w:basedOn w:val="Normal"/>
    <w:qFormat/>
    <w:rsid w:val="009851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851DF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customStyle="1" w:styleId="BodyTextChar">
    <w:name w:val="Body Text Char"/>
    <w:basedOn w:val="DefaultParagraphFont"/>
    <w:link w:val="BodyText"/>
    <w:semiHidden/>
    <w:rsid w:val="00370BEC"/>
    <w:rPr>
      <w:rFonts w:eastAsia="Arial Unicode MS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B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4</cp:revision>
  <cp:lastPrinted>2014-05-08T21:43:00Z</cp:lastPrinted>
  <dcterms:created xsi:type="dcterms:W3CDTF">2016-08-26T20:13:00Z</dcterms:created>
  <dcterms:modified xsi:type="dcterms:W3CDTF">2016-08-29T15:12:00Z</dcterms:modified>
</cp:coreProperties>
</file>