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C1" w:rsidRDefault="00966DC1">
      <w:pPr>
        <w:pStyle w:val="Title"/>
        <w:rPr>
          <w:b/>
          <w:bCs/>
        </w:rPr>
      </w:pPr>
      <w:r>
        <w:rPr>
          <w:b/>
          <w:bCs/>
        </w:rPr>
        <w:t>STATE OF LOUISIANA</w:t>
      </w:r>
    </w:p>
    <w:p w:rsidR="00966DC1" w:rsidRDefault="00966DC1">
      <w:pPr>
        <w:jc w:val="center"/>
        <w:rPr>
          <w:sz w:val="24"/>
          <w:szCs w:val="24"/>
        </w:rPr>
      </w:pPr>
      <w:r>
        <w:rPr>
          <w:sz w:val="24"/>
          <w:szCs w:val="24"/>
        </w:rPr>
        <w:t>Department of Public Safety and Corrections</w:t>
      </w:r>
    </w:p>
    <w:p w:rsidR="00966DC1" w:rsidRDefault="00966DC1">
      <w:pPr>
        <w:jc w:val="center"/>
      </w:pPr>
      <w:r>
        <w:rPr>
          <w:sz w:val="24"/>
          <w:szCs w:val="24"/>
        </w:rPr>
        <w:t>Office of State Fire Marshal Code Enforcement and Building Safety</w:t>
      </w:r>
    </w:p>
    <w:p w:rsidR="00966DC1" w:rsidRDefault="009B6937">
      <w:pPr>
        <w:jc w:val="center"/>
      </w:pPr>
      <w:r>
        <w:t>8181</w:t>
      </w:r>
      <w:r w:rsidR="00966DC1">
        <w:t xml:space="preserve"> Independence Boulevard</w:t>
      </w:r>
    </w:p>
    <w:p w:rsidR="00966DC1" w:rsidRDefault="00966DC1">
      <w:pPr>
        <w:jc w:val="center"/>
      </w:pPr>
      <w:r>
        <w:t>Baton Rouge, Louisiana  70806</w:t>
      </w:r>
    </w:p>
    <w:p w:rsidR="00966DC1" w:rsidRDefault="00966DC1">
      <w:pPr>
        <w:jc w:val="center"/>
      </w:pPr>
      <w:r>
        <w:t>225-925-4920</w:t>
      </w:r>
    </w:p>
    <w:p w:rsidR="00966DC1" w:rsidRDefault="00966DC1">
      <w:pPr>
        <w:jc w:val="center"/>
      </w:pPr>
    </w:p>
    <w:p w:rsidR="00FD329C" w:rsidRDefault="00866B73" w:rsidP="00FD329C">
      <w:pPr>
        <w:jc w:val="center"/>
      </w:pPr>
      <w:r>
        <w:t>H “BUTCH” BROWNING</w:t>
      </w:r>
    </w:p>
    <w:p w:rsidR="00966DC1" w:rsidRDefault="00FD329C" w:rsidP="00FD329C">
      <w:pPr>
        <w:jc w:val="center"/>
      </w:pPr>
      <w:r>
        <w:t>FIRE MARSHAL</w:t>
      </w:r>
    </w:p>
    <w:p w:rsidR="00966DC1" w:rsidRDefault="00966DC1">
      <w:pPr>
        <w:jc w:val="center"/>
      </w:pPr>
    </w:p>
    <w:p w:rsidR="00966DC1" w:rsidRDefault="00966DC1">
      <w:pPr>
        <w:pStyle w:val="Heading1"/>
        <w:tabs>
          <w:tab w:val="left" w:pos="-2250"/>
          <w:tab w:val="left" w:pos="-1260"/>
          <w:tab w:val="left" w:pos="4680"/>
          <w:tab w:val="left" w:pos="9360"/>
        </w:tabs>
        <w:jc w:val="center"/>
        <w:rPr>
          <w:sz w:val="24"/>
          <w:szCs w:val="24"/>
        </w:rPr>
      </w:pPr>
      <w:r>
        <w:rPr>
          <w:sz w:val="24"/>
          <w:szCs w:val="24"/>
        </w:rPr>
        <w:t>NEW CONSTRUCTION</w:t>
      </w:r>
    </w:p>
    <w:p w:rsidR="00966DC1" w:rsidRDefault="00966DC1"/>
    <w:p w:rsidR="00966DC1" w:rsidRDefault="00966DC1">
      <w:pPr>
        <w:sectPr w:rsidR="00966DC1">
          <w:headerReference w:type="default" r:id="rId6"/>
          <w:footerReference w:type="default" r:id="rId7"/>
          <w:pgSz w:w="12240" w:h="15840"/>
          <w:pgMar w:top="1440" w:right="1440" w:bottom="1440" w:left="1440" w:header="720" w:footer="1080" w:gutter="0"/>
          <w:cols w:space="720"/>
        </w:sectPr>
      </w:pPr>
    </w:p>
    <w:p w:rsidR="00966DC1" w:rsidRDefault="00966DC1">
      <w:r>
        <w:lastRenderedPageBreak/>
        <w:t>ROBERT WILTSE</w:t>
      </w:r>
    </w:p>
    <w:p w:rsidR="00966DC1" w:rsidRDefault="00966DC1">
      <w:r>
        <w:t>DAMMON ENGINEERING INC</w:t>
      </w:r>
    </w:p>
    <w:p w:rsidR="00966DC1" w:rsidRDefault="00966DC1">
      <w:r>
        <w:t>554 OLD SPANISH TRAIL</w:t>
      </w:r>
    </w:p>
    <w:p w:rsidR="00966DC1" w:rsidRDefault="00966DC1">
      <w:r>
        <w:t>SLIDELL, LA  70458-0000</w:t>
      </w:r>
      <w:r>
        <w:br w:type="column"/>
      </w:r>
      <w:r>
        <w:lastRenderedPageBreak/>
        <w:t>RE:  P0417099</w:t>
      </w:r>
    </w:p>
    <w:p w:rsidR="00966DC1" w:rsidRDefault="00966DC1">
      <w:r>
        <w:t>BRIAN FONG M.D., INC MEDICAL OFFICE</w:t>
      </w:r>
    </w:p>
    <w:p w:rsidR="00966DC1" w:rsidRDefault="00966DC1">
      <w:r>
        <w:t>2965 E GAUSE BLVD</w:t>
      </w:r>
    </w:p>
    <w:p w:rsidR="00966DC1" w:rsidRDefault="00966DC1">
      <w:r>
        <w:t>SLIDELL, LA  70458-0000</w:t>
      </w:r>
    </w:p>
    <w:p w:rsidR="00966DC1" w:rsidRDefault="00966DC1"/>
    <w:p w:rsidR="00602D33" w:rsidRDefault="00602D33">
      <w:r>
        <w:t>NFPA 101, 2009</w:t>
      </w:r>
    </w:p>
    <w:p w:rsidR="0032268D" w:rsidRDefault="0032268D">
      <w:r>
        <w:t>IBC, 2009 (CHAPTERS 9 &amp; 10)</w:t>
      </w:r>
    </w:p>
    <w:p w:rsidR="00602D33" w:rsidRDefault="00602D33"/>
    <w:p w:rsidR="00602D33" w:rsidRDefault="00602D33">
      <w:r>
        <w:t>BUSINESS</w:t>
      </w:r>
    </w:p>
    <w:p w:rsidR="00602D33" w:rsidRDefault="00602D33">
      <w:r>
        <w:t>ASSEMBLY 300 OCCUPANTS OR LESS</w:t>
      </w:r>
    </w:p>
    <w:p w:rsidR="00602D33" w:rsidRDefault="00602D33">
      <w:pPr>
        <w:sectPr w:rsidR="00602D33">
          <w:headerReference w:type="default" r:id="rId8"/>
          <w:footerReference w:type="default" r:id="rId9"/>
          <w:type w:val="continuous"/>
          <w:pgSz w:w="12240" w:h="15840"/>
          <w:pgMar w:top="1440" w:right="1440" w:bottom="1440" w:left="1440" w:header="720" w:footer="1080" w:gutter="0"/>
          <w:cols w:num="2" w:space="720"/>
        </w:sectPr>
      </w:pPr>
    </w:p>
    <w:p w:rsidR="00966DC1" w:rsidRDefault="00966DC1">
      <w:pPr>
        <w:spacing w:line="240" w:lineRule="atLeast"/>
      </w:pPr>
      <w:r>
        <w:lastRenderedPageBreak/>
        <w:t>Dear Applicant:</w:t>
      </w:r>
    </w:p>
    <w:p w:rsidR="00966DC1" w:rsidRDefault="00966DC1">
      <w:pPr>
        <w:spacing w:line="240" w:lineRule="atLeast"/>
      </w:pPr>
    </w:p>
    <w:p w:rsidR="00966DC1" w:rsidRDefault="00966DC1">
      <w:r>
        <w:t>This is to advise that we have reviewed the drawings and specifications for the subject proposed construction and have determined that they appear to satisfactorily comply with the adopted laws, codes, rules and regulations of The State Fire Marshal subject to the following requirements:</w:t>
      </w:r>
    </w:p>
    <w:p w:rsidR="00966DC1" w:rsidRDefault="00966DC1"/>
    <w:p w:rsidR="00000000" w:rsidRDefault="00DC1DFF">
      <w:pPr>
        <w:ind w:left="720" w:hanging="720"/>
        <w:rPr>
          <w:b/>
        </w:rPr>
      </w:pPr>
      <w:r>
        <w:rPr>
          <w:b/>
        </w:rPr>
        <w:t>1.</w:t>
      </w:r>
      <w:r>
        <w:rPr>
          <w:b/>
        </w:rPr>
        <w:tab/>
        <w:t>A REVIEW FOR COMPLIANCE WITH THE FIRE PROTECTION AND EGRESS REQUIREMENTS OF CHAPTERS 9 AND 10 OF THE INTE</w:t>
      </w:r>
      <w:r>
        <w:rPr>
          <w:b/>
        </w:rPr>
        <w:t xml:space="preserve">RNATIONAL BUILDING CODE IS INCLUDED IN THIS REVIEW.  Review for compliance with all other requirements of the LOUISIANA STATE UNIFORM CONSTRUCTION CODE, in accordance with Act 12 of the 2005 First Extraordinary Session of the Louisiana Legislature, IS NOT </w:t>
      </w:r>
      <w:r>
        <w:rPr>
          <w:b/>
        </w:rPr>
        <w:t>INCLUDED IN THIS REVIEW.  Contact the building official of the applicable political subdivision to coordinate compliance with these requirements.  LRS 40:1730.23 mandates the enforcement of building codes by municipalities and parishes in Louisiana, as des</w:t>
      </w:r>
      <w:r>
        <w:rPr>
          <w:b/>
        </w:rPr>
        <w:t>cribed by LRS 40:1730.28.</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Note: In accordance with LRS 40:1730.39.A, this office may establish contract agreements with municipalities and parishes in order to provide uniform construction code enforcement on their behalf, as provided in LRS 40:1730.24. P</w:t>
      </w:r>
      <w:r>
        <w:rPr>
          <w:rStyle w:val="Heading1Char"/>
          <w:rFonts w:ascii="Times New Roman" w:hAnsi="Times New Roman"/>
          <w:bCs w:val="0"/>
          <w:kern w:val="0"/>
          <w:sz w:val="20"/>
          <w:szCs w:val="20"/>
        </w:rPr>
        <w:t>lease visit our web site at http://www.dps.state.la.us/sfm/index.htm for a current list of jurisdictions requesting plan review by this office, a fee schedule, and a checklist of information required for review.</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PROVIDE A DUPLICATE SET OF PLANS AND SPECIF</w:t>
      </w:r>
      <w:r>
        <w:rPr>
          <w:rStyle w:val="Heading1Char"/>
          <w:rFonts w:ascii="Times New Roman" w:hAnsi="Times New Roman"/>
          <w:bCs w:val="0"/>
          <w:kern w:val="0"/>
          <w:sz w:val="20"/>
          <w:szCs w:val="20"/>
        </w:rPr>
        <w:t>ICATIONS TO THE BUILDING OFFICIAL (OR THIRD-PARTY) FOR REVIEW AND/OR PERMITTING, THE STATE FIRE MARSHAL REVIEWED AND STAMPED DOCUMENTS SHALL NOT BE USED FOR THIS PURPOSE.  ADDITIONAL MARKING OR ALTERATIONS MADE TO THE APPROVED STAMPED PLANS MAY CAUSE DELAY</w:t>
      </w:r>
      <w:r>
        <w:rPr>
          <w:rStyle w:val="Heading1Char"/>
          <w:rFonts w:ascii="Times New Roman" w:hAnsi="Times New Roman"/>
          <w:bCs w:val="0"/>
          <w:kern w:val="0"/>
          <w:sz w:val="20"/>
          <w:szCs w:val="20"/>
        </w:rPr>
        <w:t xml:space="preserve">S IN FINAL ACCEPTANCE FOR OCCUPANCY. </w:t>
      </w:r>
    </w:p>
    <w:p w:rsidR="00000000" w:rsidRDefault="00DC1DFF">
      <w:pPr>
        <w:ind w:left="720"/>
        <w:rPr>
          <w:rStyle w:val="Heading1Char"/>
          <w:rFonts w:ascii="Times New Roman" w:hAnsi="Times New Roman"/>
          <w:bCs w:val="0"/>
          <w:kern w:val="0"/>
          <w:sz w:val="20"/>
          <w:szCs w:val="20"/>
        </w:rPr>
      </w:pPr>
    </w:p>
    <w:p w:rsidR="00000000" w:rsidRDefault="00DC1DFF">
      <w:pPr>
        <w:ind w:left="720" w:hanging="720"/>
        <w:rPr>
          <w:b/>
        </w:rPr>
      </w:pPr>
      <w:r>
        <w:rPr>
          <w:b/>
        </w:rPr>
        <w:t>2.</w:t>
      </w:r>
      <w:r>
        <w:rPr>
          <w:b/>
        </w:rPr>
        <w:tab/>
        <w:t xml:space="preserve">101:38/12.1.4 and IBC 302  This review is based on an occupancy classification of B, A-3 in accordance with 101:6.1.1 and this section. </w:t>
      </w:r>
    </w:p>
    <w:p w:rsidR="00000000" w:rsidRDefault="00DC1DFF">
      <w:pPr>
        <w:ind w:left="720" w:hanging="720"/>
        <w:rPr>
          <w:b/>
        </w:rPr>
      </w:pPr>
    </w:p>
    <w:p w:rsidR="00000000" w:rsidRDefault="00DC1DFF"/>
    <w:p w:rsidR="00000000" w:rsidRDefault="00DC1DFF">
      <w:r>
        <w:lastRenderedPageBreak/>
        <w:t>NOTE:  THE COMMENTS LISTED BELOW IDENTIFY APPARENT DEFICIENCIES DETECTED IN OUR REVIEW OF THE DOCUMENTS SUBMITTED.</w:t>
      </w:r>
    </w:p>
    <w:p w:rsidR="00000000" w:rsidRDefault="00DC1DFF"/>
    <w:p w:rsidR="00000000" w:rsidRDefault="00DC1DFF">
      <w:pPr>
        <w:ind w:left="720" w:hanging="720"/>
        <w:rPr>
          <w:b/>
        </w:rPr>
      </w:pPr>
      <w:r>
        <w:rPr>
          <w:b/>
        </w:rPr>
        <w:t>3.</w:t>
      </w:r>
      <w:r>
        <w:rPr>
          <w:b/>
        </w:rPr>
        <w:tab/>
        <w:t>LRS 40:1731-(Effective 10/01/11)  Provide access for persons with disabilities in accordance with the ADA-ABA Accessibility Guidelines, J</w:t>
      </w:r>
      <w:r>
        <w:rPr>
          <w:b/>
        </w:rPr>
        <w:t xml:space="preserve">uly 23, 2004 (also known as the 2010 Standards).  This does not include a review for compliance with the Federal Americans with Disabilities (Civil Rights) Act of 1990.  Compliance with state regulations and requirements does not guarantee compliance with </w:t>
      </w:r>
      <w:r>
        <w:rPr>
          <w:b/>
        </w:rPr>
        <w:t>federal law.  NOTE: As per ADA-ABA 2004, Section F103, Office of State Fire Marshal appeal determinations are not valid for facilities that are designed, constructed, altered, or operated with federal funds, or leased by a federal agency.  The authority ha</w:t>
      </w:r>
      <w:r>
        <w:rPr>
          <w:b/>
        </w:rPr>
        <w:t>ving jurisdiction over such appeals is the administrator of the General Services Administration (GSA).  Particular deficiencies and paragraph references are noted as follows:</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  904.4 Sales counters and service counters shall comply with one of the foll</w:t>
      </w:r>
      <w:r>
        <w:rPr>
          <w:rStyle w:val="Heading1Char"/>
          <w:rFonts w:ascii="Times New Roman" w:hAnsi="Times New Roman"/>
          <w:bCs w:val="0"/>
          <w:kern w:val="0"/>
          <w:sz w:val="20"/>
          <w:szCs w:val="20"/>
        </w:rPr>
        <w:t>owing and the accessible portion of the counter shall extend the same depth as the sales or service counter top:</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1.  904.4.2 Provide a portion of the counter surface that is 30" long minimum and 36" high maximum above the finish floor or ground with a 30" </w:t>
      </w:r>
      <w:r>
        <w:rPr>
          <w:rStyle w:val="Heading1Char"/>
          <w:rFonts w:ascii="Times New Roman" w:hAnsi="Times New Roman"/>
          <w:bCs w:val="0"/>
          <w:kern w:val="0"/>
          <w:sz w:val="20"/>
          <w:szCs w:val="20"/>
        </w:rPr>
        <w:t>x 48" clear floor space positioned for a forward approach.</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w:t>
      </w:r>
    </w:p>
    <w:p w:rsidR="00000000" w:rsidRDefault="00DC1DFF">
      <w:pPr>
        <w:ind w:left="720"/>
        <w:rPr>
          <w:rStyle w:val="Heading1Char"/>
          <w:rFonts w:ascii="Times New Roman" w:hAnsi="Times New Roman"/>
          <w:bCs w:val="0"/>
          <w:kern w:val="0"/>
          <w:sz w:val="20"/>
          <w:szCs w:val="20"/>
        </w:rPr>
      </w:pPr>
    </w:p>
    <w:p w:rsidR="00000000" w:rsidRDefault="00DC1DFF">
      <w:pPr>
        <w:ind w:left="720" w:hanging="720"/>
        <w:rPr>
          <w:b/>
        </w:rPr>
      </w:pPr>
      <w:r>
        <w:rPr>
          <w:b/>
        </w:rPr>
        <w:t>4.</w:t>
      </w:r>
      <w:r>
        <w:rPr>
          <w:b/>
        </w:rPr>
        <w:tab/>
        <w:t xml:space="preserve">101:12.2.2.2 and IBC 1008.1.10  Doors in a required means of egress serving PHYSICAL AREA may be provided with a latch or lock only if it is panic hardware. </w:t>
      </w:r>
    </w:p>
    <w:p w:rsidR="00000000" w:rsidRDefault="00DC1DFF">
      <w:pPr>
        <w:ind w:left="720" w:hanging="720"/>
        <w:rPr>
          <w:b/>
        </w:rPr>
      </w:pPr>
    </w:p>
    <w:p w:rsidR="00000000" w:rsidRDefault="00DC1DFF">
      <w:pPr>
        <w:ind w:left="720" w:hanging="720"/>
        <w:rPr>
          <w:b/>
        </w:rPr>
      </w:pPr>
      <w:r>
        <w:rPr>
          <w:b/>
        </w:rPr>
        <w:t>5.</w:t>
      </w:r>
      <w:r>
        <w:rPr>
          <w:b/>
        </w:rPr>
        <w:tab/>
        <w:t>Comply with the grounding req</w:t>
      </w:r>
      <w:r>
        <w:rPr>
          <w:b/>
        </w:rPr>
        <w:t>uirements of NFPA 70:517.13 for "PATIENT CARE AREAS", (examining rooms). Wiring in "PATIENT CARE AREAS" shall comply with 517.13(A) and (B).</w:t>
      </w: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  NFPA 70:517.13(A)  All branch circuits serving patient care areas shall be provided with a ground path for fau</w:t>
      </w:r>
      <w:r>
        <w:rPr>
          <w:rStyle w:val="Heading1Char"/>
          <w:rFonts w:ascii="Times New Roman" w:hAnsi="Times New Roman"/>
          <w:bCs w:val="0"/>
          <w:kern w:val="0"/>
          <w:sz w:val="20"/>
          <w:szCs w:val="20"/>
        </w:rPr>
        <w:t>lt current by installation in a metal raceway system, or a cable armor or sheath assembly. The metal raceway system, or cable armor, or sheath assembly, shall itself qualify as an equipment grounding return path in accordance with 250.118. Type AC, Type MC</w:t>
      </w:r>
      <w:r>
        <w:rPr>
          <w:rStyle w:val="Heading1Char"/>
          <w:rFonts w:ascii="Times New Roman" w:hAnsi="Times New Roman"/>
          <w:bCs w:val="0"/>
          <w:kern w:val="0"/>
          <w:sz w:val="20"/>
          <w:szCs w:val="20"/>
        </w:rPr>
        <w:t xml:space="preserve">, Type MI cables shall have an outer metal armor or sheath that is identified as an acceptable grounding return path. </w:t>
      </w: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b)  NFPA 70:517.13(B)  In an area used for patient care, the grounding terminals of all receptacles and all non-current-carrying conduct</w:t>
      </w:r>
      <w:r>
        <w:rPr>
          <w:rStyle w:val="Heading1Char"/>
          <w:rFonts w:ascii="Times New Roman" w:hAnsi="Times New Roman"/>
          <w:bCs w:val="0"/>
          <w:kern w:val="0"/>
          <w:sz w:val="20"/>
          <w:szCs w:val="20"/>
        </w:rPr>
        <w:t>ive surfaces of fixed electric equipment likely to become energized that are subject to personal contact, operating at over 100 volts, shall be grounded by an insulated copper conductor. The grounding conductor shall be sized in accordance with Table 250.1</w:t>
      </w:r>
      <w:r>
        <w:rPr>
          <w:rStyle w:val="Heading1Char"/>
          <w:rFonts w:ascii="Times New Roman" w:hAnsi="Times New Roman"/>
          <w:bCs w:val="0"/>
          <w:kern w:val="0"/>
          <w:sz w:val="20"/>
          <w:szCs w:val="20"/>
        </w:rPr>
        <w:t xml:space="preserve">22 and installed in metal raceways or metal-clad cables with the branch-circuit conductors supplying these receptacles or fixed equipment. </w:t>
      </w: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p>
    <w:p w:rsidR="00000000" w:rsidRDefault="00DC1DFF">
      <w:pPr>
        <w:ind w:left="720" w:hanging="720"/>
        <w:rPr>
          <w:b/>
        </w:rPr>
      </w:pPr>
      <w:r>
        <w:rPr>
          <w:b/>
        </w:rPr>
        <w:t>6.</w:t>
      </w:r>
      <w:r>
        <w:rPr>
          <w:b/>
        </w:rPr>
        <w:tab/>
        <w:t xml:space="preserve">101:38.2.10 and IBC 1011 Exit signs complying with 101:7.10 and IBC 1011 shall define exits and access to exits </w:t>
      </w:r>
      <w:r>
        <w:rPr>
          <w:b/>
        </w:rPr>
        <w:t xml:space="preserve">where the exit is not immediately apparent. SEE REMARKS SHEET E-2 </w:t>
      </w:r>
    </w:p>
    <w:p w:rsidR="00000000" w:rsidRDefault="00DC1DFF">
      <w:pPr>
        <w:ind w:left="720" w:hanging="720"/>
        <w:rPr>
          <w:b/>
        </w:rPr>
      </w:pPr>
    </w:p>
    <w:p w:rsidR="00000000" w:rsidRDefault="00DC1DFF">
      <w:pPr>
        <w:ind w:left="720" w:hanging="720"/>
        <w:rPr>
          <w:b/>
        </w:rPr>
      </w:pPr>
      <w:r>
        <w:rPr>
          <w:b/>
        </w:rPr>
        <w:t>7.</w:t>
      </w:r>
      <w:r>
        <w:rPr>
          <w:b/>
        </w:rPr>
        <w:tab/>
        <w:t xml:space="preserve">LAC 55:V:303.D  Provide listed portable fire extinguishers in accordance with NFPA 10.  (Refer to Appendix E for distribution information.) </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  NFPA 10:5.2  Classifications for fires</w:t>
      </w:r>
      <w:r>
        <w:rPr>
          <w:rStyle w:val="Heading1Char"/>
          <w:rFonts w:ascii="Times New Roman" w:hAnsi="Times New Roman"/>
          <w:bCs w:val="0"/>
          <w:kern w:val="0"/>
          <w:sz w:val="20"/>
          <w:szCs w:val="20"/>
        </w:rPr>
        <w:t xml:space="preserve">:  </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Class A fires-fires in ordinary combustible materials, such as wood, cloth, paper, rubber and many plastics.  </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Class B fires-fires in flammable liquids, combustible liquids, petroleum greases, tars. oils, oil-based paints, solvents, lacquers, alcohols</w:t>
      </w:r>
      <w:r>
        <w:rPr>
          <w:rStyle w:val="Heading1Char"/>
          <w:rFonts w:ascii="Times New Roman" w:hAnsi="Times New Roman"/>
          <w:bCs w:val="0"/>
          <w:kern w:val="0"/>
          <w:sz w:val="20"/>
          <w:szCs w:val="20"/>
        </w:rPr>
        <w:t xml:space="preserve"> and flammable gases.  </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Class C fires-fires that involve energized electrical equipment.  </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Class D fires-fires in combustible metals, such as magnesium, titanium, zirconium, sodium, lithium, and potassium. </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Class K fires-fires in cooking appliances that involve combustible cooking media (vegetable or animal oils and fats.) (FOR USE ONLY AFTER ASSOCIATED FIRE SUPPRESSION SYSTEM HAS ACTIVATED AND ELECTRICAL POWER TO THE COOKING APPLIANCES HAS SHUNTED) </w:t>
      </w:r>
    </w:p>
    <w:p w:rsidR="00000000" w:rsidRDefault="00DC1DFF">
      <w:pPr>
        <w:ind w:left="720"/>
        <w:rPr>
          <w:rStyle w:val="Heading1Char"/>
          <w:rFonts w:ascii="Times New Roman" w:hAnsi="Times New Roman"/>
          <w:bCs w:val="0"/>
          <w:kern w:val="0"/>
          <w:sz w:val="20"/>
          <w:szCs w:val="20"/>
        </w:rPr>
      </w:pPr>
    </w:p>
    <w:p w:rsidR="00000000" w:rsidRDefault="00DC1DFF"/>
    <w:p w:rsidR="00000000" w:rsidRDefault="00DC1DFF">
      <w:r>
        <w:t>______</w:t>
      </w:r>
      <w:r>
        <w:t>________________________________________________________________________________</w:t>
      </w:r>
    </w:p>
    <w:p w:rsidR="00000000" w:rsidRDefault="00DC1DFF"/>
    <w:p w:rsidR="00000000" w:rsidRDefault="00DC1DFF">
      <w:r>
        <w:t>NOTE:  THE FOLLOWING COMMENTS IDENTIFY ISSUES FOR INFORMATIONAL AND CAUTIONARY PURPOSES OR ISSUES THAT COULD NOT BE VERIFIED IN THE SUBMITTED DOCUMENTS.</w:t>
      </w:r>
    </w:p>
    <w:p w:rsidR="00000000" w:rsidRDefault="00DC1DFF"/>
    <w:p w:rsidR="00000000" w:rsidRDefault="00DC1DFF">
      <w:pPr>
        <w:ind w:left="720" w:hanging="720"/>
        <w:rPr>
          <w:b/>
        </w:rPr>
      </w:pPr>
      <w:r>
        <w:rPr>
          <w:b/>
        </w:rPr>
        <w:t>8.</w:t>
      </w:r>
      <w:r>
        <w:rPr>
          <w:b/>
        </w:rPr>
        <w:tab/>
        <w:t>LRS 40:1730.45 an</w:t>
      </w:r>
      <w:r>
        <w:rPr>
          <w:b/>
        </w:rPr>
        <w:t xml:space="preserve">d LAC 55:V:2601  The documentation provided for the subject facility appears to comply with The Commercial Building Energy Conservation Code based on ANSI/ASHRAE/IESNA 90.1- 2007, or the International Energy Conservation Code, 2009 edition, as applicable. </w:t>
      </w:r>
    </w:p>
    <w:p w:rsidR="00000000" w:rsidRDefault="00DC1DFF">
      <w:pPr>
        <w:ind w:left="720" w:hanging="720"/>
        <w:rPr>
          <w:b/>
        </w:rPr>
      </w:pPr>
    </w:p>
    <w:p w:rsidR="00000000" w:rsidRDefault="00DC1DFF">
      <w:pPr>
        <w:ind w:left="720" w:hanging="720"/>
        <w:rPr>
          <w:b/>
        </w:rPr>
      </w:pPr>
      <w:r>
        <w:rPr>
          <w:b/>
        </w:rPr>
        <w:t>9.</w:t>
      </w:r>
      <w:r>
        <w:rPr>
          <w:b/>
        </w:rPr>
        <w:tab/>
        <w:t>LRS 40:1731-(Effective 10/01/11)  Provide access for persons with disabilities in accordance with the ADA-ABA Accessibility Guidelines, July 23, 2004 (also known as the 2010 Standards).  This does not include a review for compliance with the Federal A</w:t>
      </w:r>
      <w:r>
        <w:rPr>
          <w:b/>
        </w:rPr>
        <w:t xml:space="preserve">mericans with Disabilities (Civil Rights) Act of 1990.  Compliance with state regulations and requirements does not guarantee compliance with federal law.  NOTE: As per ADA-ABA 2004, Section F103, Office of State Fire Marshal appeal determinations are not </w:t>
      </w:r>
      <w:r>
        <w:rPr>
          <w:b/>
        </w:rPr>
        <w:t>valid for facilities that are designed, constructed, altered, or operated with federal funds, or leased by a federal agency.  The authority having jurisdiction over such appeals is the administrator of the General Services Administration (GSA).  Particular</w:t>
      </w:r>
      <w:r>
        <w:rPr>
          <w:b/>
        </w:rPr>
        <w:t xml:space="preserve"> deficiencies and paragraph references are noted as follows:</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  606.1 Lavatories and sinks shall comply with the following:</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1.  606.2 Provide a clear floor space complying with 305, positioned for a forward approach, and knee and toe clearan</w:t>
      </w:r>
      <w:r>
        <w:rPr>
          <w:rStyle w:val="Heading1Char"/>
          <w:rFonts w:ascii="Times New Roman" w:hAnsi="Times New Roman"/>
          <w:bCs w:val="0"/>
          <w:kern w:val="0"/>
          <w:sz w:val="20"/>
          <w:szCs w:val="20"/>
        </w:rPr>
        <w:t>ce complying with 306shall be provided.</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2.  606.3 Lavatories and sinks shall be installed with the front of the higher of the rim or counter surface 34 inches maximum above the finish floor or ground.</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3.  606.4 and 309 Controls for </w:t>
      </w:r>
      <w:r>
        <w:rPr>
          <w:rStyle w:val="Heading1Char"/>
          <w:rFonts w:ascii="Times New Roman" w:hAnsi="Times New Roman"/>
          <w:bCs w:val="0"/>
          <w:kern w:val="0"/>
          <w:sz w:val="20"/>
          <w:szCs w:val="20"/>
        </w:rPr>
        <w:t>faucets shall not require tight grasping, pinching, or twisting of the wrist.</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4.  606.5 Water supply and drain pipes shall be insulated or covered.</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b)  604.1 Water closets and toilet compartments shall comply with 604.2 through 604.8 as follo</w:t>
      </w:r>
      <w:r>
        <w:rPr>
          <w:rStyle w:val="Heading1Char"/>
          <w:rFonts w:ascii="Times New Roman" w:hAnsi="Times New Roman"/>
          <w:bCs w:val="0"/>
          <w:kern w:val="0"/>
          <w:sz w:val="20"/>
          <w:szCs w:val="20"/>
        </w:rPr>
        <w:t>ws:</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1. 604.2  The centerline of the water closet shall be 16 inches (405 mm) minimum to 18 inches (455 mm) maximum from the nearest adjacent wall (17 inches (405 mm) minimum to 19 inches (455 mm) maximum in an ambulatory accessible toilet compartment</w:t>
      </w:r>
      <w:r>
        <w:rPr>
          <w:rStyle w:val="Heading1Char"/>
          <w:rFonts w:ascii="Times New Roman" w:hAnsi="Times New Roman"/>
          <w:bCs w:val="0"/>
          <w:kern w:val="0"/>
          <w:sz w:val="20"/>
          <w:szCs w:val="20"/>
        </w:rPr>
        <w:t xml:space="preserve"> specified in 604.8.2).</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2. 604.3.1 Provide a clearance around the water closet that complies with Figure 604.3.1. (NOTE: As per 604.3.2 No other fixtures or obstructions shall be located within the required water closet clearance.)</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3. 604.4 The s</w:t>
      </w:r>
      <w:r>
        <w:rPr>
          <w:rStyle w:val="Heading1Char"/>
          <w:rFonts w:ascii="Times New Roman" w:hAnsi="Times New Roman"/>
          <w:bCs w:val="0"/>
          <w:kern w:val="0"/>
          <w:sz w:val="20"/>
          <w:szCs w:val="20"/>
        </w:rPr>
        <w:t>eat height above the finish floor shall be 17" minimum to 19" maximum to the top of the seat.</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4. 604.8 Wheelchair accessible toilet compartments shall meet the requirements of 604.8.1 through 604.8.3 as follows:</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r>
      <w:r>
        <w:rPr>
          <w:rStyle w:val="Heading1Char"/>
          <w:rFonts w:ascii="Times New Roman" w:hAnsi="Times New Roman"/>
          <w:bCs w:val="0"/>
          <w:kern w:val="0"/>
          <w:sz w:val="20"/>
          <w:szCs w:val="20"/>
        </w:rPr>
        <w:t>a. 604.8.1 Wheelchair Accessible Compartments</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t xml:space="preserve">     1)</w:t>
      </w:r>
      <w:r>
        <w:rPr>
          <w:rStyle w:val="Heading1Char"/>
          <w:rFonts w:ascii="Times New Roman" w:hAnsi="Times New Roman"/>
          <w:bCs w:val="0"/>
          <w:kern w:val="0"/>
          <w:sz w:val="20"/>
          <w:szCs w:val="20"/>
        </w:rPr>
        <w:tab/>
        <w:t>604.8.1.1 Wheelchair compartments shall be sized in accordance with Figure 604.8.1.1.</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t xml:space="preserve">     2)</w:t>
      </w:r>
      <w:r>
        <w:rPr>
          <w:rStyle w:val="Heading1Char"/>
          <w:rFonts w:ascii="Times New Roman" w:hAnsi="Times New Roman"/>
          <w:bCs w:val="0"/>
          <w:kern w:val="0"/>
          <w:sz w:val="20"/>
          <w:szCs w:val="20"/>
        </w:rPr>
        <w:tab/>
        <w:t>604.8.1.2 Toilet compartment doors, including hardware, shall comply with Section 404 and located in accor</w:t>
      </w:r>
      <w:r>
        <w:rPr>
          <w:rStyle w:val="Heading1Char"/>
          <w:rFonts w:ascii="Times New Roman" w:hAnsi="Times New Roman"/>
          <w:bCs w:val="0"/>
          <w:kern w:val="0"/>
          <w:sz w:val="20"/>
          <w:szCs w:val="20"/>
        </w:rPr>
        <w:t>dance with Figure 604.8.1.2.</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t xml:space="preserve">     3)</w:t>
      </w:r>
      <w:r>
        <w:rPr>
          <w:rStyle w:val="Heading1Char"/>
          <w:rFonts w:ascii="Times New Roman" w:hAnsi="Times New Roman"/>
          <w:bCs w:val="0"/>
          <w:kern w:val="0"/>
          <w:sz w:val="20"/>
          <w:szCs w:val="20"/>
        </w:rPr>
        <w:tab/>
        <w:t>604.8.1.3 Compartments shall be arranged for a left-hand or right-hand approach to the water closet.</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t xml:space="preserve">     4)</w:t>
      </w:r>
      <w:r>
        <w:rPr>
          <w:rStyle w:val="Heading1Char"/>
          <w:rFonts w:ascii="Times New Roman" w:hAnsi="Times New Roman"/>
          <w:bCs w:val="0"/>
          <w:kern w:val="0"/>
          <w:sz w:val="20"/>
          <w:szCs w:val="20"/>
        </w:rPr>
        <w:tab/>
        <w:t>604.8.1.4 Provide toe clearance in accordance with Figure 604.8.1.4.</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ab/>
        <w:t xml:space="preserve">     5)</w:t>
      </w:r>
      <w:r>
        <w:rPr>
          <w:rStyle w:val="Heading1Char"/>
          <w:rFonts w:ascii="Times New Roman" w:hAnsi="Times New Roman"/>
          <w:bCs w:val="0"/>
          <w:kern w:val="0"/>
          <w:sz w:val="20"/>
          <w:szCs w:val="20"/>
        </w:rPr>
        <w:tab/>
        <w:t>604.8.1.5 Grab bars shall comp</w:t>
      </w:r>
      <w:r>
        <w:rPr>
          <w:rStyle w:val="Heading1Char"/>
          <w:rFonts w:ascii="Times New Roman" w:hAnsi="Times New Roman"/>
          <w:bCs w:val="0"/>
          <w:kern w:val="0"/>
          <w:sz w:val="20"/>
          <w:szCs w:val="20"/>
        </w:rPr>
        <w:t xml:space="preserve">ly with Section 609. (Provide a 42" long grab bar adjacent to the toilet and a 36" grab bar behind the toilet.) </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c)  803.1 Dressing, fitting, and locker rooms shall comply with 803.</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lastRenderedPageBreak/>
        <w:t>d)  903.1 Benches shall comply with 903 as follows:</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1.   903.2 Provide</w:t>
      </w:r>
      <w:r>
        <w:rPr>
          <w:rStyle w:val="Heading1Char"/>
          <w:rFonts w:ascii="Times New Roman" w:hAnsi="Times New Roman"/>
          <w:bCs w:val="0"/>
          <w:kern w:val="0"/>
          <w:sz w:val="20"/>
          <w:szCs w:val="20"/>
        </w:rPr>
        <w:t xml:space="preserve"> a 30" x 48" clear floor space positioned at the end of the bench seat.</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2.   903.3 Bench seats shall be 42" long minimum and 20" deep minimum and 24" deep maximum.</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3.   903.4 Back support shall comply with figure 903.4.</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4.   903.5 The top of the bench shal</w:t>
      </w:r>
      <w:r>
        <w:rPr>
          <w:rStyle w:val="Heading1Char"/>
          <w:rFonts w:ascii="Times New Roman" w:hAnsi="Times New Roman"/>
          <w:bCs w:val="0"/>
          <w:kern w:val="0"/>
          <w:sz w:val="20"/>
          <w:szCs w:val="20"/>
        </w:rPr>
        <w:t>l be 17" minimum to 19" maximum above the finish floor or ground.</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e)  303 Thresholds shall comply with requirements of this section regarding changes in level. (Not more than 1/2" height and beveled if over 1/4")</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f)  404.2.7 Handles, pulls, latches, lo</w:t>
      </w:r>
      <w:r>
        <w:rPr>
          <w:rStyle w:val="Heading1Char"/>
          <w:rFonts w:ascii="Times New Roman" w:hAnsi="Times New Roman"/>
          <w:bCs w:val="0"/>
          <w:kern w:val="0"/>
          <w:sz w:val="20"/>
          <w:szCs w:val="20"/>
        </w:rPr>
        <w:t>cks, and other operable parts on doors and gates shall comply with 309.4.  Hardware shall not require tight grasping, tight pinching, or twisting of the wrist to operate.</w:t>
      </w:r>
    </w:p>
    <w:p w:rsidR="00000000" w:rsidRDefault="00DC1DFF">
      <w:pPr>
        <w:ind w:left="720"/>
        <w:rPr>
          <w:rStyle w:val="Heading1Char"/>
          <w:rFonts w:ascii="Times New Roman" w:hAnsi="Times New Roman"/>
          <w:bCs w:val="0"/>
          <w:kern w:val="0"/>
          <w:sz w:val="20"/>
          <w:szCs w:val="20"/>
        </w:rPr>
      </w:pPr>
    </w:p>
    <w:p w:rsidR="00000000" w:rsidRDefault="00DC1DFF">
      <w:pPr>
        <w:numPr>
          <w:ilvl w:val="0"/>
          <w:numId w:val="2"/>
        </w:numPr>
        <w:tabs>
          <w:tab w:val="clear" w:pos="360"/>
          <w:tab w:val="num" w:pos="720"/>
        </w:tabs>
        <w:ind w:left="720" w:hanging="36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g)  703.1 Signage, where provided for permanent rooms and spaces shall provide:</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1. </w:t>
      </w:r>
      <w:r>
        <w:rPr>
          <w:rStyle w:val="Heading1Char"/>
          <w:rFonts w:ascii="Times New Roman" w:hAnsi="Times New Roman"/>
          <w:bCs w:val="0"/>
          <w:kern w:val="0"/>
          <w:sz w:val="20"/>
          <w:szCs w:val="20"/>
        </w:rPr>
        <w:t xml:space="preserve"> Braille and raised characters as per 703.2 and 703.3</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2.  Installation height and location as per 703.4</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3.  Visual characters as per 703.5</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4.  Pictograms shall comply with 703.6</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5.  Symbols of accessibility shall comply with 703.7.</w:t>
      </w: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 xml:space="preserve"> </w:t>
      </w:r>
    </w:p>
    <w:p w:rsidR="00000000" w:rsidRDefault="00DC1DFF">
      <w:pPr>
        <w:ind w:left="720"/>
        <w:rPr>
          <w:rStyle w:val="Heading1Char"/>
          <w:rFonts w:ascii="Times New Roman" w:hAnsi="Times New Roman"/>
          <w:bCs w:val="0"/>
          <w:kern w:val="0"/>
          <w:sz w:val="20"/>
          <w:szCs w:val="20"/>
        </w:rPr>
      </w:pPr>
    </w:p>
    <w:p w:rsidR="00000000" w:rsidRDefault="00DC1DFF">
      <w:pPr>
        <w:ind w:left="720" w:hanging="720"/>
        <w:rPr>
          <w:b/>
        </w:rPr>
      </w:pPr>
      <w:r>
        <w:rPr>
          <w:b/>
        </w:rPr>
        <w:t>10.</w:t>
      </w:r>
      <w:r>
        <w:rPr>
          <w:b/>
        </w:rPr>
        <w:tab/>
      </w:r>
      <w:r>
        <w:rPr>
          <w:b/>
        </w:rPr>
        <w:t xml:space="preserve">101:7.2.1.3.1, 101:7.1.6.3, and IBC 1008.1.5 through 1008.1.7  The floor elevation shall not change by more than 1/2" from one side of a door to the other. </w:t>
      </w:r>
    </w:p>
    <w:p w:rsidR="00000000" w:rsidRDefault="00DC1DFF">
      <w:pPr>
        <w:ind w:left="720" w:hanging="720"/>
        <w:rPr>
          <w:b/>
        </w:rPr>
      </w:pPr>
    </w:p>
    <w:p w:rsidR="00000000" w:rsidRDefault="00DC1DFF">
      <w:pPr>
        <w:ind w:left="720" w:hanging="720"/>
        <w:rPr>
          <w:b/>
        </w:rPr>
      </w:pPr>
      <w:r>
        <w:rPr>
          <w:b/>
        </w:rPr>
        <w:t>11.</w:t>
      </w:r>
      <w:r>
        <w:rPr>
          <w:b/>
        </w:rPr>
        <w:tab/>
        <w:t xml:space="preserve">101:7.2.1.3 and IBC 1008.1.5 through 1008.1.7   Provide level landings outside exterior doors </w:t>
      </w:r>
      <w:r>
        <w:rPr>
          <w:b/>
        </w:rPr>
        <w:t xml:space="preserve">that are within 1/2" of the interior finish floor elevation. </w:t>
      </w:r>
    </w:p>
    <w:p w:rsidR="00000000" w:rsidRDefault="00DC1DFF">
      <w:pPr>
        <w:ind w:left="720" w:hanging="720"/>
        <w:rPr>
          <w:b/>
        </w:rPr>
      </w:pPr>
    </w:p>
    <w:p w:rsidR="00000000" w:rsidRDefault="00DC1DFF">
      <w:pPr>
        <w:ind w:left="720" w:hanging="720"/>
        <w:rPr>
          <w:b/>
        </w:rPr>
      </w:pPr>
      <w:r>
        <w:rPr>
          <w:b/>
        </w:rPr>
        <w:t>12.</w:t>
      </w:r>
      <w:r>
        <w:rPr>
          <w:b/>
        </w:rPr>
        <w:tab/>
        <w:t>101:7.2.1.5 and IBC 1008.1.9  Locks on doors in means of egress shall not require the use of a key, special device or special knowledge to open in the direction of egress.</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Submit a "REQUES</w:t>
      </w:r>
      <w:r>
        <w:rPr>
          <w:rStyle w:val="Heading1Char"/>
          <w:rFonts w:ascii="Times New Roman" w:hAnsi="Times New Roman"/>
          <w:bCs w:val="0"/>
          <w:kern w:val="0"/>
          <w:sz w:val="20"/>
          <w:szCs w:val="20"/>
        </w:rPr>
        <w:t>T FOR EXEMPTION" for special locking arrangements in accordance with Interpretive Memorandum 2009-03 available on our website at http://www.dps.louisiana.gov/sfm/ under the PLAN REVIEW / FORMS section.  Also see Interpretive Memorandum 2009-04 for clarific</w:t>
      </w:r>
      <w:r>
        <w:rPr>
          <w:rStyle w:val="Heading1Char"/>
          <w:rFonts w:ascii="Times New Roman" w:hAnsi="Times New Roman"/>
          <w:bCs w:val="0"/>
          <w:kern w:val="0"/>
          <w:sz w:val="20"/>
          <w:szCs w:val="20"/>
        </w:rPr>
        <w:t>ation regarding "Magnetic Lock Releasing Devices &amp; Electrified Locks/Latches", or Interpretive Memorandum 2009-05 for clarification regarding Special Healthcare Locking Arrangements.</w:t>
      </w:r>
    </w:p>
    <w:p w:rsidR="00000000" w:rsidRDefault="00DC1DFF">
      <w:pPr>
        <w:ind w:left="720"/>
        <w:rPr>
          <w:rStyle w:val="Heading1Char"/>
          <w:rFonts w:ascii="Times New Roman" w:hAnsi="Times New Roman"/>
          <w:bCs w:val="0"/>
          <w:kern w:val="0"/>
          <w:sz w:val="20"/>
          <w:szCs w:val="20"/>
        </w:rPr>
      </w:pPr>
    </w:p>
    <w:p w:rsidR="00000000" w:rsidRDefault="00DC1DFF">
      <w:pPr>
        <w:ind w:left="720"/>
        <w:rPr>
          <w:rStyle w:val="Heading1Char"/>
          <w:rFonts w:ascii="Times New Roman" w:hAnsi="Times New Roman"/>
          <w:bCs w:val="0"/>
          <w:kern w:val="0"/>
          <w:sz w:val="20"/>
          <w:szCs w:val="20"/>
        </w:rPr>
      </w:pPr>
      <w:r>
        <w:rPr>
          <w:rStyle w:val="Heading1Char"/>
          <w:rFonts w:ascii="Times New Roman" w:hAnsi="Times New Roman"/>
          <w:bCs w:val="0"/>
          <w:kern w:val="0"/>
          <w:sz w:val="20"/>
          <w:szCs w:val="20"/>
        </w:rPr>
        <w:t>NOTE:  The "Life Safety and Property Protection Licensing Law" (LRS 40:1</w:t>
      </w:r>
      <w:r>
        <w:rPr>
          <w:rStyle w:val="Heading1Char"/>
          <w:rFonts w:ascii="Times New Roman" w:hAnsi="Times New Roman"/>
          <w:bCs w:val="0"/>
          <w:kern w:val="0"/>
          <w:sz w:val="20"/>
          <w:szCs w:val="20"/>
        </w:rPr>
        <w:t xml:space="preserve">664 et seq.) requires locksmiths to be licensed.  Contact the licensing section of this office at 225.925.7047 for guidance and assistance. </w:t>
      </w:r>
    </w:p>
    <w:p w:rsidR="00000000" w:rsidRDefault="00DC1DFF">
      <w:pPr>
        <w:ind w:left="720"/>
        <w:rPr>
          <w:rStyle w:val="Heading1Char"/>
          <w:rFonts w:ascii="Times New Roman" w:hAnsi="Times New Roman"/>
          <w:bCs w:val="0"/>
          <w:kern w:val="0"/>
          <w:sz w:val="20"/>
          <w:szCs w:val="20"/>
        </w:rPr>
      </w:pPr>
    </w:p>
    <w:p w:rsidR="00000000" w:rsidRDefault="00DC1DFF">
      <w:pPr>
        <w:ind w:left="720" w:hanging="720"/>
        <w:rPr>
          <w:b/>
        </w:rPr>
      </w:pPr>
      <w:r>
        <w:rPr>
          <w:b/>
        </w:rPr>
        <w:t>13.</w:t>
      </w:r>
      <w:r>
        <w:rPr>
          <w:b/>
        </w:rPr>
        <w:tab/>
        <w:t>101:7.2.1.5.9 and IBC 1008.1.94 through 1008.1.9.5  Doors shall be openable with ONLY one releasing operation.</w:t>
      </w:r>
      <w:r>
        <w:rPr>
          <w:b/>
        </w:rPr>
        <w:t xml:space="preserve">  A two-step release, such as a knob and an independent slide bolt, is NOT acceptable. </w:t>
      </w:r>
    </w:p>
    <w:p w:rsidR="00000000" w:rsidRDefault="00DC1DFF">
      <w:pPr>
        <w:ind w:left="720" w:hanging="720"/>
        <w:rPr>
          <w:b/>
        </w:rPr>
      </w:pPr>
    </w:p>
    <w:p w:rsidR="00000000" w:rsidRDefault="00DC1DFF">
      <w:pPr>
        <w:ind w:left="720" w:hanging="720"/>
        <w:rPr>
          <w:b/>
        </w:rPr>
      </w:pPr>
      <w:r>
        <w:rPr>
          <w:b/>
        </w:rPr>
        <w:t>14.</w:t>
      </w:r>
      <w:r>
        <w:rPr>
          <w:b/>
        </w:rPr>
        <w:tab/>
        <w:t xml:space="preserve">101:12/38.5.1  Utilities shall comply with the provisions of Section 9.1. </w:t>
      </w:r>
    </w:p>
    <w:p w:rsidR="00000000" w:rsidRDefault="00DC1DFF">
      <w:pPr>
        <w:ind w:left="720" w:hanging="720"/>
        <w:rPr>
          <w:b/>
        </w:rPr>
      </w:pPr>
    </w:p>
    <w:p w:rsidR="00000000" w:rsidRDefault="00DC1DFF">
      <w:pPr>
        <w:ind w:left="720" w:hanging="720"/>
        <w:rPr>
          <w:b/>
        </w:rPr>
      </w:pPr>
      <w:r>
        <w:rPr>
          <w:b/>
        </w:rPr>
        <w:t>15.</w:t>
      </w:r>
      <w:r>
        <w:rPr>
          <w:b/>
        </w:rPr>
        <w:tab/>
        <w:t>Compliance with the 2008 NFPA 70, National Electrical Code (NEC), is mandated by RS</w:t>
      </w:r>
      <w:r>
        <w:rPr>
          <w:b/>
        </w:rPr>
        <w:t xml:space="preserve"> 40:1730.28.A(7). Contact the local Building Official of the applicable local political subdivision or a Louisiana State Uniform Construction Code Council registered third-party provider to verify plan review and inspection requirements of the proposed ele</w:t>
      </w:r>
      <w:r>
        <w:rPr>
          <w:b/>
        </w:rPr>
        <w:t xml:space="preserve">ctrical work. </w:t>
      </w:r>
    </w:p>
    <w:p w:rsidR="00000000" w:rsidRDefault="00DC1DFF">
      <w:pPr>
        <w:ind w:left="720" w:hanging="720"/>
        <w:rPr>
          <w:b/>
        </w:rPr>
      </w:pPr>
    </w:p>
    <w:p w:rsidR="00000000" w:rsidRDefault="00DC1DFF">
      <w:pPr>
        <w:ind w:left="720" w:hanging="720"/>
        <w:rPr>
          <w:b/>
        </w:rPr>
      </w:pPr>
      <w:r>
        <w:rPr>
          <w:b/>
        </w:rPr>
        <w:t>16.</w:t>
      </w:r>
      <w:r>
        <w:rPr>
          <w:b/>
        </w:rPr>
        <w:tab/>
        <w:t xml:space="preserve">HVAC system shall be constructed in accordance with 101:9.2. </w:t>
      </w:r>
    </w:p>
    <w:p w:rsidR="00000000" w:rsidRDefault="00DC1DFF">
      <w:pPr>
        <w:ind w:left="720" w:hanging="720"/>
        <w:rPr>
          <w:b/>
        </w:rPr>
      </w:pPr>
    </w:p>
    <w:p w:rsidR="00000000" w:rsidRDefault="00DC1DFF">
      <w:pPr>
        <w:ind w:left="720" w:hanging="720"/>
        <w:rPr>
          <w:b/>
        </w:rPr>
      </w:pPr>
      <w:r>
        <w:rPr>
          <w:b/>
        </w:rPr>
        <w:lastRenderedPageBreak/>
        <w:t>17.</w:t>
      </w:r>
      <w:r>
        <w:rPr>
          <w:b/>
        </w:rPr>
        <w:tab/>
        <w:t xml:space="preserve">NOTE: Please ENCLOSE A COPY OF THIS LETTER WITH FUTURE SUBMITTALS OR OTHER CORRESPONDENCE pertaining to this project. </w:t>
      </w:r>
    </w:p>
    <w:p w:rsidR="00000000" w:rsidRDefault="00DC1DFF">
      <w:pPr>
        <w:ind w:left="720" w:hanging="720"/>
        <w:rPr>
          <w:b/>
        </w:rPr>
      </w:pPr>
    </w:p>
    <w:p w:rsidR="00000000" w:rsidRDefault="00DC1DFF"/>
    <w:p w:rsidR="00966DC1" w:rsidRDefault="00966DC1">
      <w:pPr>
        <w:spacing w:line="240" w:lineRule="atLeast"/>
      </w:pPr>
      <w:r>
        <w:t>Changes to construction in the field which are not consistent with the reviewed documents are not authorized unless reviewed by this office for compliance with Code.  Modifications to reviewed plans must be submitted to this office by the Architect/Civil Engineer for review prior to final inspection.  If an Architect or Civil Engineer is not required by RS 37:155, revisions shall be submitted by the Owner.  Submittals shall include plans, completed application, a minimum $55.00 review fee, and a copy of the most current plan review letter.</w:t>
      </w:r>
    </w:p>
    <w:p w:rsidR="00966DC1" w:rsidRDefault="00966DC1">
      <w:pPr>
        <w:spacing w:line="240" w:lineRule="atLeast"/>
      </w:pPr>
    </w:p>
    <w:p w:rsidR="00966DC1" w:rsidRDefault="00966DC1">
      <w:pPr>
        <w:spacing w:line="240" w:lineRule="atLeast"/>
      </w:pPr>
      <w:r>
        <w:t>Compliance with code requirements for fire protection systems, such as Fire Alarm, Sprinkler and Suppression Systems, is determined by separate shop drawing submittal and is not included in this review.</w:t>
      </w:r>
    </w:p>
    <w:p w:rsidR="00966DC1" w:rsidRDefault="00966DC1">
      <w:pPr>
        <w:spacing w:line="240" w:lineRule="atLeast"/>
      </w:pPr>
    </w:p>
    <w:p w:rsidR="00966DC1" w:rsidRDefault="00966DC1">
      <w:pPr>
        <w:spacing w:line="240" w:lineRule="atLeast"/>
      </w:pPr>
      <w:r>
        <w:t>This review shall in no way permit and/or authorize any omissions or deviations from the specific requirements of the adopted codes, rules and regulations in accordance with R.S. 40:1574.1(B).</w:t>
      </w:r>
    </w:p>
    <w:p w:rsidR="00966DC1" w:rsidRDefault="00966DC1">
      <w:pPr>
        <w:spacing w:line="240" w:lineRule="atLeast"/>
      </w:pPr>
    </w:p>
    <w:p w:rsidR="00966DC1" w:rsidRDefault="00966DC1">
      <w:pPr>
        <w:pStyle w:val="BodyText2"/>
      </w:pPr>
      <w:r>
        <w:t>This review is valid for 180 days from the date of this letter.  Construction permits must be issued and/or construction must commence within this time period.</w:t>
      </w:r>
    </w:p>
    <w:p w:rsidR="00966DC1" w:rsidRDefault="00966DC1">
      <w:pPr>
        <w:spacing w:line="240" w:lineRule="atLeast"/>
      </w:pPr>
    </w:p>
    <w:p w:rsidR="00966DC1" w:rsidRDefault="00966DC1">
      <w:r>
        <w:t>This office requires certification of the completed project in accordance with the approved documents (certificate enclosed).</w:t>
      </w:r>
    </w:p>
    <w:p w:rsidR="00966DC1" w:rsidRDefault="00966DC1"/>
    <w:p w:rsidR="00966DC1" w:rsidRDefault="00966DC1">
      <w:pPr>
        <w:pStyle w:val="BodyText"/>
      </w:pPr>
      <w:r>
        <w:t>Occupancy of the project will not be permitted until we receive the completed certificate and a satisfactory inspection of the completed construction has been made by this office.</w:t>
      </w:r>
    </w:p>
    <w:p w:rsidR="00966DC1" w:rsidRDefault="00966DC1">
      <w:pPr>
        <w:pStyle w:val="BodyText"/>
      </w:pPr>
    </w:p>
    <w:p w:rsidR="00966DC1" w:rsidRDefault="00966DC1" w:rsidP="002C5D02">
      <w:pPr>
        <w:pStyle w:val="BodyText"/>
        <w:keepNext/>
        <w:keepLines/>
      </w:pPr>
      <w:r>
        <w:t>To arrange for inspection of the project, please contact the District Office at the phone number below two (2) to three (3) weeks in advance.  The plans stamped reviewed by this office must be available on job site at time of inspection.  Certificate of completion must be provided to the inspecting Deputy for final inspection.</w:t>
      </w:r>
    </w:p>
    <w:p w:rsidR="006F531D" w:rsidRDefault="006F531D" w:rsidP="002C5D02">
      <w:pPr>
        <w:pStyle w:val="BodyText"/>
        <w:keepNext/>
        <w:keepLines/>
      </w:pPr>
    </w:p>
    <w:p w:rsidR="006F531D" w:rsidRDefault="006F531D" w:rsidP="006F531D">
      <w:pPr>
        <w:pStyle w:val="BodyText"/>
        <w:keepNext/>
        <w:keepLines/>
      </w:pPr>
      <w:r w:rsidRPr="002C5D02">
        <w:t>Fire Department access and water supplies within the scope of work shall be acceptable to the local fire department. Submit to the State Fire Marshal inspector, a review letter from the local fire department, stating that the access and water supply as proposed are acceptable.  In lieu of a review letter, where the local fire department does not provide a formal review, the local fire department may indicate review of the access and water supplies by stating such on the plans bearing the State Fire Marshal review stamp.</w:t>
      </w:r>
    </w:p>
    <w:p w:rsidR="00966DC1" w:rsidRDefault="00966DC1">
      <w:pPr>
        <w:keepNext/>
        <w:keepLines/>
        <w:rPr>
          <w:b/>
          <w:bCs/>
        </w:rPr>
      </w:pPr>
    </w:p>
    <w:p w:rsidR="00966DC1" w:rsidRDefault="00966DC1">
      <w:pPr>
        <w:keepNext/>
        <w:keepLines/>
      </w:pPr>
      <w:r>
        <w:t>REVIEWED BY:</w:t>
      </w:r>
    </w:p>
    <w:p w:rsidR="00966DC1" w:rsidRDefault="00966DC1">
      <w:pPr>
        <w:keepNext/>
        <w:keepLines/>
      </w:pPr>
      <w:r>
        <w:t>ERIC PARNELL</w:t>
      </w:r>
    </w:p>
    <w:p w:rsidR="00966DC1" w:rsidRDefault="00966DC1">
      <w:pPr>
        <w:keepNext/>
        <w:keepLines/>
      </w:pPr>
      <w:r>
        <w:t>ARCHITECT</w:t>
      </w:r>
    </w:p>
    <w:p w:rsidR="00966DC1" w:rsidRDefault="00966DC1">
      <w:pPr>
        <w:keepNext/>
        <w:keepLines/>
      </w:pPr>
    </w:p>
    <w:p w:rsidR="00966DC1" w:rsidRDefault="00966DC1">
      <w:pPr>
        <w:keepNext/>
        <w:keepLines/>
      </w:pPr>
    </w:p>
    <w:p w:rsidR="00966DC1" w:rsidRDefault="00966DC1">
      <w:pPr>
        <w:keepNext/>
        <w:keepLines/>
        <w:rPr>
          <w:b/>
          <w:bCs/>
        </w:rPr>
      </w:pPr>
      <w:r>
        <w:rPr>
          <w:b/>
          <w:bCs/>
        </w:rPr>
        <w:t>CC:</w:t>
      </w:r>
    </w:p>
    <w:p w:rsidR="00966DC1" w:rsidRDefault="00966DC1">
      <w:pPr>
        <w:keepNext/>
        <w:keepLines/>
      </w:pPr>
      <w:r>
        <w:t>Brian Fong M.d., Inc</w:t>
      </w:r>
    </w:p>
    <w:p w:rsidR="00966DC1" w:rsidRDefault="00966DC1">
      <w:pPr>
        <w:keepNext/>
        <w:keepLines/>
      </w:pPr>
      <w:r>
        <w:t>St Tammany Fire Protection District No 1*</w:t>
      </w:r>
    </w:p>
    <w:p w:rsidR="00966DC1" w:rsidRDefault="00966DC1">
      <w:pPr>
        <w:keepNext/>
        <w:keepLines/>
      </w:pPr>
      <w:r>
        <w:t>City Of Slidell*</w:t>
      </w:r>
    </w:p>
    <w:p w:rsidR="00966DC1" w:rsidRDefault="00966DC1">
      <w:pPr>
        <w:keepNext/>
        <w:keepLines/>
      </w:pPr>
      <w:r>
        <w:t>New Orleans District*     5045688506</w:t>
      </w:r>
    </w:p>
    <w:p w:rsidR="00966DC1" w:rsidRDefault="00966DC1">
      <w:pPr>
        <w:keepNext/>
        <w:keepLines/>
      </w:pPr>
      <w:r>
        <w:t>City Of Slidell*</w:t>
      </w:r>
    </w:p>
    <w:p w:rsidR="00966DC1" w:rsidRDefault="00966DC1">
      <w:pPr>
        <w:keepNext/>
        <w:keepLines/>
      </w:pPr>
      <w:r>
        <w:t>St Tammany Fire District #1*</w:t>
      </w:r>
    </w:p>
    <w:p w:rsidR="00966DC1" w:rsidRDefault="00966DC1">
      <w:pPr>
        <w:keepNext/>
        <w:keepLines/>
      </w:pPr>
    </w:p>
    <w:sectPr w:rsidR="00966DC1">
      <w:type w:val="continuous"/>
      <w:pgSz w:w="12240" w:h="15840"/>
      <w:pgMar w:top="1440" w:right="1440" w:bottom="1440" w:left="1440" w:header="72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3D1" w:rsidRDefault="00F713D1">
      <w:r>
        <w:separator/>
      </w:r>
    </w:p>
  </w:endnote>
  <w:endnote w:type="continuationSeparator" w:id="1">
    <w:p w:rsidR="00F713D1" w:rsidRDefault="00F71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1" w:rsidRDefault="00966DC1">
    <w:pPr>
      <w:pStyle w:val="Footer"/>
      <w:jc w:val="right"/>
    </w:pPr>
    <w:r>
      <w:t>Jun 28, 2012</w:t>
    </w:r>
  </w:p>
  <w:p w:rsidR="00966DC1" w:rsidRDefault="00966DC1">
    <w:pPr>
      <w:pStyle w:val="Footer"/>
      <w:jc w:val="right"/>
    </w:pPr>
    <w:r>
      <w:t xml:space="preserve">P0417099 - PAGE </w:t>
    </w:r>
    <w:r>
      <w:rPr>
        <w:rStyle w:val="PageNumber"/>
      </w:rPr>
      <w:fldChar w:fldCharType="begin"/>
    </w:r>
    <w:r>
      <w:rPr>
        <w:rStyle w:val="PageNumber"/>
      </w:rPr>
      <w:instrText xml:space="preserve"> PAGE </w:instrText>
    </w:r>
    <w:r>
      <w:rPr>
        <w:rStyle w:val="PageNumber"/>
      </w:rPr>
      <w:fldChar w:fldCharType="separate"/>
    </w:r>
    <w:r w:rsidR="00DC1DFF">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1" w:rsidRDefault="00966DC1">
    <w:pPr>
      <w:pStyle w:val="Footer"/>
      <w:jc w:val="right"/>
    </w:pPr>
    <w:r>
      <w:t>Jun 28, 2012</w:t>
    </w:r>
  </w:p>
  <w:p w:rsidR="00966DC1" w:rsidRDefault="00966DC1">
    <w:pPr>
      <w:pStyle w:val="Footer"/>
      <w:jc w:val="right"/>
    </w:pPr>
    <w:r>
      <w:t xml:space="preserve">P0417099 - PAGE </w:t>
    </w:r>
    <w:r>
      <w:rPr>
        <w:rStyle w:val="PageNumber"/>
      </w:rPr>
      <w:fldChar w:fldCharType="begin"/>
    </w:r>
    <w:r>
      <w:rPr>
        <w:rStyle w:val="PageNumber"/>
      </w:rPr>
      <w:instrText xml:space="preserve"> PAGE </w:instrText>
    </w:r>
    <w:r>
      <w:rPr>
        <w:rStyle w:val="PageNumber"/>
      </w:rPr>
      <w:fldChar w:fldCharType="separate"/>
    </w:r>
    <w:r w:rsidR="00DC1DFF">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3D1" w:rsidRDefault="00F713D1">
      <w:r>
        <w:separator/>
      </w:r>
    </w:p>
  </w:footnote>
  <w:footnote w:type="continuationSeparator" w:id="1">
    <w:p w:rsidR="00F713D1" w:rsidRDefault="00F71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1" w:rsidRDefault="00966DC1">
    <w:pPr>
      <w:pStyle w:val="Header"/>
      <w:rPr>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C1" w:rsidRDefault="00966DC1">
    <w:pPr>
      <w:pStyle w:val="Header"/>
      <w:rPr>
        <w:b/>
        <w:bC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DC1"/>
    <w:rsid w:val="001D1500"/>
    <w:rsid w:val="002C5D02"/>
    <w:rsid w:val="0032268D"/>
    <w:rsid w:val="00344E4C"/>
    <w:rsid w:val="00523732"/>
    <w:rsid w:val="00602D33"/>
    <w:rsid w:val="006F531D"/>
    <w:rsid w:val="00866B73"/>
    <w:rsid w:val="00901057"/>
    <w:rsid w:val="00966DC1"/>
    <w:rsid w:val="009B6937"/>
    <w:rsid w:val="00D75ED9"/>
    <w:rsid w:val="00DC1DFF"/>
    <w:rsid w:val="00E35D0A"/>
    <w:rsid w:val="00F713D1"/>
    <w:rsid w:val="00FD32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iPriority="0"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color w:val="000000"/>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rPr>
  </w:style>
  <w:style w:type="paragraph" w:styleId="Title">
    <w:name w:val="Title"/>
    <w:basedOn w:val="Normal"/>
    <w:link w:val="TitleChar"/>
    <w:uiPriority w:val="99"/>
    <w:qFormat/>
    <w:pPr>
      <w:jc w:val="center"/>
    </w:pPr>
    <w:rPr>
      <w:sz w:val="28"/>
      <w:szCs w:val="28"/>
    </w:rPr>
  </w:style>
  <w:style w:type="character" w:customStyle="1" w:styleId="TitleChar">
    <w:name w:val="Title Char"/>
    <w:basedOn w:val="DefaultParagraphFont"/>
    <w:link w:val="Title"/>
    <w:uiPriority w:val="10"/>
    <w:locked/>
    <w:rPr>
      <w:rFonts w:ascii="Cambria" w:hAnsi="Cambria" w:cs="Times New Roman"/>
      <w:b/>
      <w:bCs/>
      <w:color w:val="000000"/>
      <w:kern w:val="28"/>
      <w:sz w:val="32"/>
      <w:szCs w:val="32"/>
    </w:rPr>
  </w:style>
  <w:style w:type="paragraph" w:styleId="BodyText">
    <w:name w:val="Body Text"/>
    <w:basedOn w:val="Normal"/>
    <w:link w:val="BodyTextChar"/>
    <w:uiPriority w:val="99"/>
    <w:rPr>
      <w:b/>
      <w:bCs/>
    </w:rPr>
  </w:style>
  <w:style w:type="character" w:customStyle="1" w:styleId="BodyTextChar">
    <w:name w:val="Body Text Char"/>
    <w:basedOn w:val="DefaultParagraphFont"/>
    <w:link w:val="BodyText"/>
    <w:uiPriority w:val="99"/>
    <w:semiHidden/>
    <w:locked/>
    <w:rPr>
      <w:rFonts w:cs="Times New Roman"/>
      <w:color w:val="000000"/>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color w:val="000000"/>
      <w:sz w:val="20"/>
      <w:szCs w:val="20"/>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spacing w:line="240" w:lineRule="atLeast"/>
    </w:pPr>
  </w:style>
  <w:style w:type="character" w:customStyle="1" w:styleId="BodyText2Char">
    <w:name w:val="Body Text 2 Char"/>
    <w:basedOn w:val="DefaultParagraphFont"/>
    <w:link w:val="BodyText2"/>
    <w:uiPriority w:val="99"/>
    <w:semiHidden/>
    <w:locked/>
    <w:rPr>
      <w:rFonts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847477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2285</Words>
  <Characters>12916</Characters>
  <Application>Microsoft Office Word</Application>
  <DocSecurity>4</DocSecurity>
  <Lines>107</Lines>
  <Paragraphs>30</Paragraphs>
  <ScaleCrop>false</ScaleCrop>
  <Company>IBM Global Services Integration Services</Company>
  <LinksUpToDate>false</LinksUpToDate>
  <CharactersWithSpaces>15171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Integrations Services Employee</dc:creator>
  <cp:keywords/>
  <dc:description/>
  <cp:lastModifiedBy>Station__2</cp:lastModifiedBy>
  <cp:revision>2</cp:revision>
  <dcterms:created xsi:type="dcterms:W3CDTF">2012-07-02T12:49:00Z</dcterms:created>
  <dcterms:modified xsi:type="dcterms:W3CDTF">2012-07-02T12:49:00Z</dcterms:modified>
</cp:coreProperties>
</file>