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47B" w:rsidRDefault="00A2747B" w:rsidP="00B53E77">
      <w:pPr>
        <w:autoSpaceDE w:val="0"/>
        <w:autoSpaceDN w:val="0"/>
        <w:adjustRightInd w:val="0"/>
        <w:spacing w:after="0" w:line="240" w:lineRule="auto"/>
      </w:pPr>
      <w:r>
        <w:t>TO: Whom it May Concern</w:t>
      </w:r>
      <w:r>
        <w:tab/>
      </w:r>
      <w:r>
        <w:tab/>
      </w:r>
      <w:r>
        <w:tab/>
      </w:r>
      <w:r>
        <w:tab/>
      </w:r>
      <w:r>
        <w:tab/>
      </w:r>
      <w:r>
        <w:tab/>
      </w:r>
      <w:r>
        <w:tab/>
        <w:t>6/1/2016</w:t>
      </w:r>
    </w:p>
    <w:p w:rsidR="00A2747B" w:rsidRDefault="00A2747B" w:rsidP="00B53E77">
      <w:pPr>
        <w:autoSpaceDE w:val="0"/>
        <w:autoSpaceDN w:val="0"/>
        <w:adjustRightInd w:val="0"/>
        <w:spacing w:after="0" w:line="240" w:lineRule="auto"/>
      </w:pPr>
    </w:p>
    <w:p w:rsidR="00A92977" w:rsidRDefault="00B23C40" w:rsidP="00B53E77">
      <w:pPr>
        <w:autoSpaceDE w:val="0"/>
        <w:autoSpaceDN w:val="0"/>
        <w:adjustRightInd w:val="0"/>
        <w:spacing w:after="0" w:line="240" w:lineRule="auto"/>
        <w:rPr>
          <w:color w:val="0D0D0D"/>
        </w:rPr>
      </w:pPr>
      <w:r>
        <w:t>This structure foundation</w:t>
      </w:r>
      <w:r w:rsidR="00A225B9">
        <w:t>, at 2450 Destrehan Ave in Harvey,</w:t>
      </w:r>
      <w:r>
        <w:t xml:space="preserve"> will not be constructed at BFE of AE 5.5 or H.E.A.G. of 36”.  This c</w:t>
      </w:r>
      <w:r w:rsidR="00B53E77" w:rsidRPr="00B53E77">
        <w:t xml:space="preserve">ar wash building is </w:t>
      </w:r>
      <w:proofErr w:type="gramStart"/>
      <w:r w:rsidR="00B53E77" w:rsidRPr="00B53E77">
        <w:t>544 s.f.</w:t>
      </w:r>
      <w:proofErr w:type="gramEnd"/>
      <w:r w:rsidR="001C2CCA">
        <w:t xml:space="preserve"> and designed as a Partial Enclosed building.  </w:t>
      </w:r>
      <w:r>
        <w:t xml:space="preserve">The </w:t>
      </w:r>
      <w:proofErr w:type="spellStart"/>
      <w:r>
        <w:t>northside</w:t>
      </w:r>
      <w:proofErr w:type="spellEnd"/>
      <w:r>
        <w:t xml:space="preserve"> of the building will be constructed as a cased opening that is 16 ft wide and 16 ft tall.  This opening is more than sufficient for flood waters to enter and depart without damage to the structure.  This area is not considered to be in a </w:t>
      </w:r>
      <w:r w:rsidRPr="00903D51">
        <w:rPr>
          <w:color w:val="0D0D0D"/>
        </w:rPr>
        <w:t>high-velocity wave action</w:t>
      </w:r>
      <w:r>
        <w:rPr>
          <w:color w:val="0D0D0D"/>
        </w:rPr>
        <w:t xml:space="preserve"> area.</w:t>
      </w:r>
    </w:p>
    <w:p w:rsidR="00A2747B" w:rsidRDefault="00A2747B" w:rsidP="00B53E77">
      <w:pPr>
        <w:autoSpaceDE w:val="0"/>
        <w:autoSpaceDN w:val="0"/>
        <w:adjustRightInd w:val="0"/>
        <w:spacing w:after="0" w:line="240" w:lineRule="auto"/>
        <w:rPr>
          <w:color w:val="0D0D0D"/>
        </w:rPr>
      </w:pPr>
    </w:p>
    <w:p w:rsidR="00A2747B" w:rsidRDefault="00A2747B" w:rsidP="00B53E77">
      <w:pPr>
        <w:autoSpaceDE w:val="0"/>
        <w:autoSpaceDN w:val="0"/>
        <w:adjustRightInd w:val="0"/>
        <w:spacing w:after="0" w:line="240" w:lineRule="auto"/>
        <w:rPr>
          <w:color w:val="0D0D0D"/>
        </w:rPr>
      </w:pPr>
    </w:p>
    <w:p w:rsidR="00A2747B" w:rsidRDefault="00A2747B" w:rsidP="00B53E77">
      <w:pPr>
        <w:autoSpaceDE w:val="0"/>
        <w:autoSpaceDN w:val="0"/>
        <w:adjustRightInd w:val="0"/>
        <w:spacing w:after="0" w:line="240" w:lineRule="auto"/>
        <w:rPr>
          <w:color w:val="0D0D0D"/>
        </w:rPr>
      </w:pPr>
      <w:r>
        <w:rPr>
          <w:noProof/>
          <w:color w:val="0D0D0D"/>
        </w:rPr>
        <w:drawing>
          <wp:inline distT="0" distB="0" distL="0" distR="0">
            <wp:extent cx="2627376" cy="768096"/>
            <wp:effectExtent l="19050" t="0" r="1524" b="0"/>
            <wp:docPr id="1" name="Picture 0" descr="David Signat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vid Signature1.jpg"/>
                    <pic:cNvPicPr/>
                  </pic:nvPicPr>
                  <pic:blipFill>
                    <a:blip r:embed="rId4" cstate="print"/>
                    <a:stretch>
                      <a:fillRect/>
                    </a:stretch>
                  </pic:blipFill>
                  <pic:spPr>
                    <a:xfrm>
                      <a:off x="0" y="0"/>
                      <a:ext cx="2627376" cy="768096"/>
                    </a:xfrm>
                    <a:prstGeom prst="rect">
                      <a:avLst/>
                    </a:prstGeom>
                  </pic:spPr>
                </pic:pic>
              </a:graphicData>
            </a:graphic>
          </wp:inline>
        </w:drawing>
      </w:r>
    </w:p>
    <w:p w:rsidR="00A2747B" w:rsidRDefault="00A2747B" w:rsidP="00B53E77">
      <w:pPr>
        <w:autoSpaceDE w:val="0"/>
        <w:autoSpaceDN w:val="0"/>
        <w:adjustRightInd w:val="0"/>
        <w:spacing w:after="0" w:line="240" w:lineRule="auto"/>
        <w:rPr>
          <w:color w:val="0D0D0D"/>
        </w:rPr>
      </w:pPr>
      <w:r>
        <w:rPr>
          <w:color w:val="0D0D0D"/>
        </w:rPr>
        <w:t>David Dammon</w:t>
      </w:r>
    </w:p>
    <w:p w:rsidR="00A2747B" w:rsidRDefault="00A2747B" w:rsidP="00B53E77">
      <w:pPr>
        <w:autoSpaceDE w:val="0"/>
        <w:autoSpaceDN w:val="0"/>
        <w:adjustRightInd w:val="0"/>
        <w:spacing w:after="0" w:line="240" w:lineRule="auto"/>
        <w:rPr>
          <w:color w:val="0D0D0D"/>
        </w:rPr>
      </w:pPr>
      <w:r>
        <w:rPr>
          <w:color w:val="0D0D0D"/>
        </w:rPr>
        <w:t>Dammon Engineering</w:t>
      </w:r>
    </w:p>
    <w:p w:rsidR="00A2747B" w:rsidRDefault="00A2747B" w:rsidP="00B53E77">
      <w:pPr>
        <w:autoSpaceDE w:val="0"/>
        <w:autoSpaceDN w:val="0"/>
        <w:adjustRightInd w:val="0"/>
        <w:spacing w:after="0" w:line="240" w:lineRule="auto"/>
      </w:pPr>
    </w:p>
    <w:p w:rsidR="00A92977" w:rsidRDefault="00A92977" w:rsidP="00B53E77">
      <w:pPr>
        <w:autoSpaceDE w:val="0"/>
        <w:autoSpaceDN w:val="0"/>
        <w:adjustRightInd w:val="0"/>
        <w:spacing w:after="0" w:line="240" w:lineRule="auto"/>
      </w:pPr>
    </w:p>
    <w:p w:rsidR="00B53E77" w:rsidRPr="00B53E77" w:rsidRDefault="00B53E77" w:rsidP="00B53E77">
      <w:pPr>
        <w:autoSpaceDE w:val="0"/>
        <w:autoSpaceDN w:val="0"/>
        <w:adjustRightInd w:val="0"/>
        <w:spacing w:after="0" w:line="240" w:lineRule="auto"/>
        <w:rPr>
          <w:color w:val="231F20"/>
        </w:rPr>
      </w:pPr>
      <w:r w:rsidRPr="00B53E77">
        <w:t xml:space="preserve">ASCE 24 </w:t>
      </w:r>
      <w:proofErr w:type="spellStart"/>
      <w:r w:rsidRPr="00B53E77">
        <w:t>para</w:t>
      </w:r>
      <w:proofErr w:type="spellEnd"/>
      <w:r w:rsidRPr="00B53E77">
        <w:t xml:space="preserve"> 2.7 “</w:t>
      </w:r>
      <w:r w:rsidRPr="00B53E77">
        <w:rPr>
          <w:color w:val="231F20"/>
        </w:rPr>
        <w:t>The minimum total net area of the required openings in non-breakaway enclosure walls shall be</w:t>
      </w:r>
      <w:r>
        <w:rPr>
          <w:color w:val="231F20"/>
        </w:rPr>
        <w:t xml:space="preserve"> </w:t>
      </w:r>
      <w:r w:rsidRPr="00B53E77">
        <w:rPr>
          <w:color w:val="231F20"/>
        </w:rPr>
        <w:t>calculated using the equation”:</w:t>
      </w:r>
    </w:p>
    <w:p w:rsidR="00B53E77" w:rsidRPr="00B53E77" w:rsidRDefault="00B53E77" w:rsidP="00B53E77">
      <w:pPr>
        <w:autoSpaceDE w:val="0"/>
        <w:autoSpaceDN w:val="0"/>
        <w:adjustRightInd w:val="0"/>
        <w:spacing w:after="0" w:line="240" w:lineRule="auto"/>
        <w:rPr>
          <w:color w:val="231F20"/>
        </w:rPr>
      </w:pPr>
    </w:p>
    <w:p w:rsidR="00B53E77" w:rsidRPr="00B53E77" w:rsidRDefault="00B53E77" w:rsidP="00B53E77">
      <w:pPr>
        <w:autoSpaceDE w:val="0"/>
        <w:autoSpaceDN w:val="0"/>
        <w:adjustRightInd w:val="0"/>
        <w:spacing w:after="0" w:line="240" w:lineRule="auto"/>
        <w:rPr>
          <w:color w:val="231F20"/>
        </w:rPr>
      </w:pPr>
      <w:proofErr w:type="spellStart"/>
      <w:r w:rsidRPr="00B53E77">
        <w:rPr>
          <w:i/>
          <w:iCs/>
          <w:color w:val="231F20"/>
        </w:rPr>
        <w:t>Ao</w:t>
      </w:r>
      <w:proofErr w:type="spellEnd"/>
      <w:r w:rsidRPr="00B53E77">
        <w:rPr>
          <w:i/>
          <w:iCs/>
          <w:color w:val="231F20"/>
        </w:rPr>
        <w:t xml:space="preserve"> </w:t>
      </w:r>
      <w:r>
        <w:rPr>
          <w:color w:val="231F20"/>
        </w:rPr>
        <w:t>=</w:t>
      </w:r>
      <w:r w:rsidRPr="00B53E77">
        <w:rPr>
          <w:color w:val="231F20"/>
        </w:rPr>
        <w:t xml:space="preserve"> 0.033 (1/</w:t>
      </w:r>
      <w:r w:rsidRPr="00B53E77">
        <w:rPr>
          <w:i/>
          <w:iCs/>
          <w:color w:val="231F20"/>
        </w:rPr>
        <w:t>c</w:t>
      </w:r>
      <w:proofErr w:type="gramStart"/>
      <w:r w:rsidRPr="00B53E77">
        <w:rPr>
          <w:color w:val="231F20"/>
        </w:rPr>
        <w:t>)(</w:t>
      </w:r>
      <w:proofErr w:type="gramEnd"/>
      <w:r w:rsidRPr="00B53E77">
        <w:rPr>
          <w:i/>
          <w:iCs/>
          <w:color w:val="231F20"/>
        </w:rPr>
        <w:t>R</w:t>
      </w:r>
      <w:r w:rsidRPr="00B53E77">
        <w:rPr>
          <w:color w:val="231F20"/>
        </w:rPr>
        <w:t>)(</w:t>
      </w:r>
      <w:proofErr w:type="spellStart"/>
      <w:r w:rsidRPr="00B53E77">
        <w:rPr>
          <w:i/>
          <w:iCs/>
          <w:color w:val="231F20"/>
        </w:rPr>
        <w:t>Ae</w:t>
      </w:r>
      <w:proofErr w:type="spellEnd"/>
      <w:r w:rsidRPr="00B53E77">
        <w:rPr>
          <w:color w:val="231F20"/>
        </w:rPr>
        <w:t>)</w:t>
      </w:r>
    </w:p>
    <w:p w:rsidR="00B53E77" w:rsidRPr="00B53E77" w:rsidRDefault="00B53E77" w:rsidP="00B53E77">
      <w:pPr>
        <w:autoSpaceDE w:val="0"/>
        <w:autoSpaceDN w:val="0"/>
        <w:adjustRightInd w:val="0"/>
        <w:spacing w:after="0" w:line="240" w:lineRule="auto"/>
        <w:rPr>
          <w:color w:val="231F20"/>
        </w:rPr>
      </w:pPr>
    </w:p>
    <w:p w:rsidR="00B53E77" w:rsidRPr="00B53E77" w:rsidRDefault="00B53E77" w:rsidP="00B53E77">
      <w:pPr>
        <w:autoSpaceDE w:val="0"/>
        <w:autoSpaceDN w:val="0"/>
        <w:adjustRightInd w:val="0"/>
        <w:spacing w:after="0" w:line="240" w:lineRule="auto"/>
        <w:rPr>
          <w:color w:val="231F20"/>
        </w:rPr>
      </w:pPr>
      <w:proofErr w:type="gramStart"/>
      <w:r w:rsidRPr="00B53E77">
        <w:rPr>
          <w:color w:val="231F20"/>
        </w:rPr>
        <w:t>where</w:t>
      </w:r>
      <w:proofErr w:type="gramEnd"/>
    </w:p>
    <w:p w:rsidR="00B53E77" w:rsidRPr="00B53E77" w:rsidRDefault="00B53E77" w:rsidP="00B53E77">
      <w:pPr>
        <w:autoSpaceDE w:val="0"/>
        <w:autoSpaceDN w:val="0"/>
        <w:adjustRightInd w:val="0"/>
        <w:spacing w:after="0" w:line="240" w:lineRule="auto"/>
        <w:rPr>
          <w:i/>
          <w:iCs/>
          <w:color w:val="231F20"/>
        </w:rPr>
      </w:pPr>
    </w:p>
    <w:p w:rsidR="00B53E77" w:rsidRPr="00B53E77" w:rsidRDefault="00B53E77" w:rsidP="00B53E77">
      <w:pPr>
        <w:autoSpaceDE w:val="0"/>
        <w:autoSpaceDN w:val="0"/>
        <w:adjustRightInd w:val="0"/>
        <w:spacing w:after="0" w:line="240" w:lineRule="auto"/>
        <w:rPr>
          <w:color w:val="231F20"/>
        </w:rPr>
      </w:pPr>
      <w:proofErr w:type="spellStart"/>
      <w:r w:rsidRPr="00B53E77">
        <w:rPr>
          <w:i/>
          <w:iCs/>
          <w:color w:val="231F20"/>
        </w:rPr>
        <w:t>Ao</w:t>
      </w:r>
      <w:proofErr w:type="spellEnd"/>
      <w:r w:rsidRPr="00B53E77">
        <w:rPr>
          <w:i/>
          <w:iCs/>
          <w:color w:val="231F20"/>
        </w:rPr>
        <w:t xml:space="preserve"> </w:t>
      </w:r>
      <w:r>
        <w:rPr>
          <w:color w:val="231F20"/>
        </w:rPr>
        <w:t>=</w:t>
      </w:r>
      <w:r w:rsidRPr="00B53E77">
        <w:rPr>
          <w:color w:val="231F20"/>
        </w:rPr>
        <w:t xml:space="preserve"> the total net area of openings required (in.</w:t>
      </w:r>
      <w:r w:rsidRPr="00B53E77">
        <w:rPr>
          <w:color w:val="231F20"/>
          <w:vertAlign w:val="superscript"/>
        </w:rPr>
        <w:t>2</w:t>
      </w:r>
      <w:r w:rsidRPr="00B53E77">
        <w:rPr>
          <w:color w:val="231F20"/>
        </w:rPr>
        <w:t>);</w:t>
      </w:r>
    </w:p>
    <w:p w:rsidR="00B53E77" w:rsidRPr="00B53E77" w:rsidRDefault="00B53E77" w:rsidP="00B53E77">
      <w:pPr>
        <w:autoSpaceDE w:val="0"/>
        <w:autoSpaceDN w:val="0"/>
        <w:adjustRightInd w:val="0"/>
        <w:spacing w:after="0" w:line="240" w:lineRule="auto"/>
        <w:rPr>
          <w:color w:val="231F20"/>
        </w:rPr>
      </w:pPr>
      <w:r w:rsidRPr="00B53E77">
        <w:rPr>
          <w:color w:val="231F20"/>
        </w:rPr>
        <w:t xml:space="preserve">0.033 </w:t>
      </w:r>
      <w:r>
        <w:rPr>
          <w:color w:val="231F20"/>
        </w:rPr>
        <w:t>=</w:t>
      </w:r>
      <w:r w:rsidRPr="00B53E77">
        <w:rPr>
          <w:color w:val="231F20"/>
        </w:rPr>
        <w:t xml:space="preserve"> coefficient (in.2 _ h_ft3) corresponding to a factor of safety of 5.0;</w:t>
      </w:r>
    </w:p>
    <w:p w:rsidR="00B53E77" w:rsidRPr="00B53E77" w:rsidRDefault="00B53E77" w:rsidP="00B53E77">
      <w:pPr>
        <w:autoSpaceDE w:val="0"/>
        <w:autoSpaceDN w:val="0"/>
        <w:adjustRightInd w:val="0"/>
        <w:spacing w:after="0" w:line="240" w:lineRule="auto"/>
        <w:rPr>
          <w:color w:val="231F20"/>
        </w:rPr>
      </w:pPr>
      <w:r w:rsidRPr="00B53E77">
        <w:rPr>
          <w:i/>
          <w:iCs/>
          <w:color w:val="231F20"/>
        </w:rPr>
        <w:t xml:space="preserve">c </w:t>
      </w:r>
      <w:r>
        <w:rPr>
          <w:color w:val="231F20"/>
        </w:rPr>
        <w:t>=</w:t>
      </w:r>
      <w:r w:rsidRPr="00B53E77">
        <w:rPr>
          <w:color w:val="231F20"/>
        </w:rPr>
        <w:t xml:space="preserve"> opening coefficient of discharge given in Table 2-2;</w:t>
      </w:r>
    </w:p>
    <w:p w:rsidR="00B53E77" w:rsidRPr="00B53E77" w:rsidRDefault="00B53E77" w:rsidP="00903D51">
      <w:pPr>
        <w:autoSpaceDE w:val="0"/>
        <w:autoSpaceDN w:val="0"/>
        <w:adjustRightInd w:val="0"/>
        <w:spacing w:after="0" w:line="240" w:lineRule="auto"/>
        <w:rPr>
          <w:color w:val="231F20"/>
        </w:rPr>
      </w:pPr>
      <w:r w:rsidRPr="00B53E77">
        <w:rPr>
          <w:i/>
          <w:iCs/>
          <w:color w:val="231F20"/>
        </w:rPr>
        <w:t xml:space="preserve">R </w:t>
      </w:r>
      <w:r>
        <w:rPr>
          <w:color w:val="231F20"/>
        </w:rPr>
        <w:t>=</w:t>
      </w:r>
      <w:r w:rsidRPr="00B53E77">
        <w:rPr>
          <w:color w:val="231F20"/>
        </w:rPr>
        <w:t xml:space="preserve"> worst case rate of rise and fall (ft</w:t>
      </w:r>
      <w:r>
        <w:rPr>
          <w:color w:val="231F20"/>
        </w:rPr>
        <w:t>/</w:t>
      </w:r>
      <w:r w:rsidR="00903D51">
        <w:rPr>
          <w:color w:val="231F20"/>
        </w:rPr>
        <w:t xml:space="preserve">h); </w:t>
      </w:r>
      <w:proofErr w:type="gramStart"/>
      <w:r w:rsidR="00903D51" w:rsidRPr="00903D51">
        <w:rPr>
          <w:i/>
          <w:color w:val="231F20"/>
        </w:rPr>
        <w:t>In</w:t>
      </w:r>
      <w:proofErr w:type="gramEnd"/>
      <w:r w:rsidR="00903D51" w:rsidRPr="00903D51">
        <w:rPr>
          <w:i/>
          <w:color w:val="231F20"/>
        </w:rPr>
        <w:t xml:space="preserve"> the absence of reliable data on the rates of rise and fall, assume a minimum rate of rise and fall of 5 f</w:t>
      </w:r>
      <w:r w:rsidR="00903D51">
        <w:rPr>
          <w:i/>
          <w:color w:val="231F20"/>
        </w:rPr>
        <w:t>t/</w:t>
      </w:r>
      <w:r w:rsidR="00903D51" w:rsidRPr="00903D51">
        <w:rPr>
          <w:i/>
          <w:color w:val="231F20"/>
        </w:rPr>
        <w:t xml:space="preserve">h; </w:t>
      </w:r>
    </w:p>
    <w:p w:rsidR="001C2CCA" w:rsidRPr="00B53E77" w:rsidRDefault="00B53E77" w:rsidP="00B53E77">
      <w:proofErr w:type="spellStart"/>
      <w:r w:rsidRPr="00B53E77">
        <w:rPr>
          <w:i/>
          <w:iCs/>
          <w:color w:val="231F20"/>
        </w:rPr>
        <w:t>Ae</w:t>
      </w:r>
      <w:proofErr w:type="spellEnd"/>
      <w:r w:rsidRPr="00B53E77">
        <w:rPr>
          <w:i/>
          <w:iCs/>
          <w:color w:val="231F20"/>
        </w:rPr>
        <w:t xml:space="preserve"> </w:t>
      </w:r>
      <w:r>
        <w:rPr>
          <w:color w:val="231F20"/>
        </w:rPr>
        <w:t>=</w:t>
      </w:r>
      <w:r w:rsidRPr="00B53E77">
        <w:rPr>
          <w:color w:val="231F20"/>
        </w:rPr>
        <w:t xml:space="preserve"> the total enclosed area (ft</w:t>
      </w:r>
      <w:r w:rsidRPr="00B53E77">
        <w:rPr>
          <w:color w:val="231F20"/>
          <w:vertAlign w:val="superscript"/>
        </w:rPr>
        <w:t>2</w:t>
      </w:r>
      <w:r w:rsidRPr="00B53E77">
        <w:rPr>
          <w:color w:val="231F20"/>
        </w:rPr>
        <w:t>).</w:t>
      </w:r>
    </w:p>
    <w:p w:rsidR="00B53E77" w:rsidRDefault="00B53E77">
      <w:r>
        <w:object w:dxaOrig="5595" w:dyaOrig="7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75pt;height:307.5pt" o:ole="">
            <v:imagedata r:id="rId5" o:title="" croptop="5377f" cropbottom="2689f"/>
          </v:shape>
          <o:OLEObject Type="Embed" ProgID="AcroExch.Document.11" ShapeID="_x0000_i1025" DrawAspect="Content" ObjectID="_1526306698" r:id="rId6"/>
        </w:object>
      </w:r>
    </w:p>
    <w:p w:rsidR="00B53E77" w:rsidRPr="001C2CCA" w:rsidRDefault="00B53E77" w:rsidP="00B53E77">
      <w:pPr>
        <w:autoSpaceDE w:val="0"/>
        <w:autoSpaceDN w:val="0"/>
        <w:adjustRightInd w:val="0"/>
        <w:spacing w:after="0" w:line="240" w:lineRule="auto"/>
        <w:rPr>
          <w:color w:val="231F20"/>
          <w:u w:val="single"/>
        </w:rPr>
      </w:pPr>
      <w:proofErr w:type="spellStart"/>
      <w:r w:rsidRPr="001C2CCA">
        <w:rPr>
          <w:i/>
          <w:iCs/>
          <w:color w:val="231F20"/>
          <w:highlight w:val="yellow"/>
          <w:u w:val="single"/>
        </w:rPr>
        <w:t>Ao</w:t>
      </w:r>
      <w:proofErr w:type="spellEnd"/>
      <w:r w:rsidRPr="001C2CCA">
        <w:rPr>
          <w:i/>
          <w:iCs/>
          <w:color w:val="231F20"/>
          <w:highlight w:val="yellow"/>
          <w:u w:val="single"/>
        </w:rPr>
        <w:t xml:space="preserve"> </w:t>
      </w:r>
      <w:r w:rsidRPr="001C2CCA">
        <w:rPr>
          <w:color w:val="231F20"/>
          <w:highlight w:val="yellow"/>
          <w:u w:val="single"/>
        </w:rPr>
        <w:t>= 0.033 (1/</w:t>
      </w:r>
      <w:r w:rsidRPr="001C2CCA">
        <w:rPr>
          <w:i/>
          <w:iCs/>
          <w:color w:val="231F20"/>
          <w:highlight w:val="yellow"/>
          <w:u w:val="single"/>
        </w:rPr>
        <w:t>0.</w:t>
      </w:r>
      <w:r w:rsidR="00A92977">
        <w:rPr>
          <w:i/>
          <w:iCs/>
          <w:color w:val="231F20"/>
          <w:highlight w:val="yellow"/>
          <w:u w:val="single"/>
        </w:rPr>
        <w:t>4</w:t>
      </w:r>
      <w:r w:rsidRPr="001C2CCA">
        <w:rPr>
          <w:color w:val="231F20"/>
          <w:highlight w:val="yellow"/>
          <w:u w:val="single"/>
        </w:rPr>
        <w:t>)(</w:t>
      </w:r>
      <w:r w:rsidR="00903D51" w:rsidRPr="001C2CCA">
        <w:rPr>
          <w:i/>
          <w:iCs/>
          <w:color w:val="231F20"/>
          <w:highlight w:val="yellow"/>
          <w:u w:val="single"/>
        </w:rPr>
        <w:t>5</w:t>
      </w:r>
      <w:r w:rsidRPr="001C2CCA">
        <w:rPr>
          <w:color w:val="231F20"/>
          <w:highlight w:val="yellow"/>
          <w:u w:val="single"/>
        </w:rPr>
        <w:t>)(</w:t>
      </w:r>
      <w:r w:rsidRPr="001C2CCA">
        <w:rPr>
          <w:i/>
          <w:iCs/>
          <w:color w:val="231F20"/>
          <w:highlight w:val="yellow"/>
          <w:u w:val="single"/>
        </w:rPr>
        <w:t>544</w:t>
      </w:r>
      <w:r w:rsidRPr="001C2CCA">
        <w:rPr>
          <w:color w:val="231F20"/>
          <w:highlight w:val="yellow"/>
          <w:u w:val="single"/>
        </w:rPr>
        <w:t xml:space="preserve">) = </w:t>
      </w:r>
      <w:r w:rsidR="00A92977">
        <w:rPr>
          <w:color w:val="231F20"/>
          <w:highlight w:val="yellow"/>
          <w:u w:val="single"/>
        </w:rPr>
        <w:t>224</w:t>
      </w:r>
      <w:r w:rsidRPr="001C2CCA">
        <w:rPr>
          <w:color w:val="231F20"/>
          <w:highlight w:val="yellow"/>
          <w:u w:val="single"/>
        </w:rPr>
        <w:t xml:space="preserve"> in</w:t>
      </w:r>
      <w:r w:rsidRPr="001C2CCA">
        <w:rPr>
          <w:color w:val="231F20"/>
          <w:highlight w:val="yellow"/>
          <w:u w:val="single"/>
          <w:vertAlign w:val="superscript"/>
        </w:rPr>
        <w:t>2</w:t>
      </w:r>
    </w:p>
    <w:p w:rsidR="00B53E77" w:rsidRDefault="00B53E77" w:rsidP="00B53E77">
      <w:pPr>
        <w:autoSpaceDE w:val="0"/>
        <w:autoSpaceDN w:val="0"/>
        <w:adjustRightInd w:val="0"/>
        <w:spacing w:after="0" w:line="240" w:lineRule="auto"/>
        <w:rPr>
          <w:color w:val="231F20"/>
        </w:rPr>
      </w:pPr>
    </w:p>
    <w:p w:rsidR="00B53E77" w:rsidRPr="00B53E77" w:rsidRDefault="00B53E77" w:rsidP="00B53E77">
      <w:pPr>
        <w:autoSpaceDE w:val="0"/>
        <w:autoSpaceDN w:val="0"/>
        <w:adjustRightInd w:val="0"/>
        <w:spacing w:after="0" w:line="240" w:lineRule="auto"/>
        <w:rPr>
          <w:color w:val="231F20"/>
        </w:rPr>
      </w:pPr>
    </w:p>
    <w:p w:rsidR="00B53E77" w:rsidRPr="00903D51" w:rsidRDefault="00903D51">
      <w:r w:rsidRPr="00903D51">
        <w:lastRenderedPageBreak/>
        <w:t xml:space="preserve">IBC 2012 </w:t>
      </w:r>
      <w:proofErr w:type="spellStart"/>
      <w:r w:rsidRPr="00903D51">
        <w:t>para</w:t>
      </w:r>
      <w:proofErr w:type="spellEnd"/>
      <w:r w:rsidRPr="00903D51">
        <w:t xml:space="preserve"> 1612</w:t>
      </w:r>
    </w:p>
    <w:p w:rsidR="00903D51" w:rsidRPr="00903D51" w:rsidRDefault="00903D51" w:rsidP="00903D51">
      <w:pPr>
        <w:autoSpaceDE w:val="0"/>
        <w:autoSpaceDN w:val="0"/>
        <w:adjustRightInd w:val="0"/>
        <w:spacing w:after="0" w:line="240" w:lineRule="auto"/>
        <w:rPr>
          <w:i/>
          <w:iCs/>
          <w:color w:val="0D0D0D"/>
        </w:rPr>
      </w:pPr>
      <w:r w:rsidRPr="00903D51">
        <w:rPr>
          <w:color w:val="0D0D0D"/>
        </w:rPr>
        <w:t xml:space="preserve">1612.5 Flood hazard documentation. The following documentation shall be prepared and sealed by a </w:t>
      </w:r>
      <w:r w:rsidRPr="00903D51">
        <w:rPr>
          <w:i/>
          <w:iCs/>
          <w:color w:val="0D0D0D"/>
        </w:rPr>
        <w:t>registered design</w:t>
      </w:r>
      <w:r w:rsidR="0027052D">
        <w:rPr>
          <w:i/>
          <w:iCs/>
          <w:color w:val="0D0D0D"/>
        </w:rPr>
        <w:t xml:space="preserve"> </w:t>
      </w:r>
      <w:r w:rsidRPr="00903D51">
        <w:rPr>
          <w:i/>
          <w:iCs/>
          <w:color w:val="0D0D0D"/>
        </w:rPr>
        <w:t xml:space="preserve">professional </w:t>
      </w:r>
      <w:r w:rsidRPr="00903D51">
        <w:rPr>
          <w:color w:val="0D0D0D"/>
        </w:rPr>
        <w:t xml:space="preserve">and submitted to the </w:t>
      </w:r>
      <w:r w:rsidRPr="00903D51">
        <w:rPr>
          <w:i/>
          <w:iCs/>
          <w:color w:val="0D0D0D"/>
        </w:rPr>
        <w:t>building official:</w:t>
      </w:r>
    </w:p>
    <w:p w:rsidR="0027052D" w:rsidRDefault="0027052D" w:rsidP="00903D51">
      <w:pPr>
        <w:autoSpaceDE w:val="0"/>
        <w:autoSpaceDN w:val="0"/>
        <w:adjustRightInd w:val="0"/>
        <w:spacing w:after="0" w:line="240" w:lineRule="auto"/>
        <w:rPr>
          <w:color w:val="0D0D0D"/>
        </w:rPr>
      </w:pPr>
    </w:p>
    <w:p w:rsidR="00903D51" w:rsidRPr="00903D51" w:rsidRDefault="0027052D" w:rsidP="00903D51">
      <w:pPr>
        <w:autoSpaceDE w:val="0"/>
        <w:autoSpaceDN w:val="0"/>
        <w:adjustRightInd w:val="0"/>
        <w:spacing w:after="0" w:line="240" w:lineRule="auto"/>
        <w:rPr>
          <w:color w:val="0D0D0D"/>
        </w:rPr>
      </w:pPr>
      <w:r>
        <w:rPr>
          <w:color w:val="0D0D0D"/>
        </w:rPr>
        <w:t xml:space="preserve">1.  </w:t>
      </w:r>
      <w:proofErr w:type="gramStart"/>
      <w:r w:rsidR="00903D51" w:rsidRPr="00903D51">
        <w:rPr>
          <w:color w:val="0D0D0D"/>
        </w:rPr>
        <w:t>For</w:t>
      </w:r>
      <w:proofErr w:type="gramEnd"/>
      <w:r w:rsidR="00903D51" w:rsidRPr="00903D51">
        <w:rPr>
          <w:color w:val="0D0D0D"/>
        </w:rPr>
        <w:t xml:space="preserve"> construction in </w:t>
      </w:r>
      <w:r w:rsidR="00903D51" w:rsidRPr="00903D51">
        <w:rPr>
          <w:i/>
          <w:iCs/>
          <w:color w:val="0D0D0D"/>
        </w:rPr>
        <w:t xml:space="preserve">flood hazard areas </w:t>
      </w:r>
      <w:r w:rsidR="00903D51" w:rsidRPr="00903D51">
        <w:rPr>
          <w:color w:val="0D0D0D"/>
        </w:rPr>
        <w:t>not subject to high-velocity wave action:</w:t>
      </w:r>
    </w:p>
    <w:p w:rsidR="00903D51" w:rsidRPr="00903D51" w:rsidRDefault="00903D51" w:rsidP="00903D51">
      <w:pPr>
        <w:autoSpaceDE w:val="0"/>
        <w:autoSpaceDN w:val="0"/>
        <w:adjustRightInd w:val="0"/>
        <w:spacing w:after="0" w:line="240" w:lineRule="auto"/>
        <w:ind w:firstLine="720"/>
        <w:rPr>
          <w:color w:val="0D0D0D"/>
        </w:rPr>
      </w:pPr>
      <w:r w:rsidRPr="00903D51">
        <w:rPr>
          <w:color w:val="0D0D0D"/>
        </w:rPr>
        <w:t>1.1. The elevation of the lowest floor, including the basement, as required by the lowest floor elevation</w:t>
      </w:r>
      <w:r>
        <w:rPr>
          <w:color w:val="0D0D0D"/>
        </w:rPr>
        <w:t xml:space="preserve"> </w:t>
      </w:r>
      <w:r w:rsidRPr="00903D51">
        <w:rPr>
          <w:color w:val="0D0D0D"/>
        </w:rPr>
        <w:t>inspection in Section 110.3.3.</w:t>
      </w:r>
    </w:p>
    <w:p w:rsidR="00903D51" w:rsidRDefault="00903D51" w:rsidP="0027052D">
      <w:pPr>
        <w:autoSpaceDE w:val="0"/>
        <w:autoSpaceDN w:val="0"/>
        <w:adjustRightInd w:val="0"/>
        <w:spacing w:after="0" w:line="240" w:lineRule="auto"/>
        <w:ind w:firstLine="720"/>
        <w:rPr>
          <w:color w:val="0D0D0D"/>
        </w:rPr>
      </w:pPr>
      <w:r w:rsidRPr="00903D51">
        <w:rPr>
          <w:color w:val="0D0D0D"/>
        </w:rPr>
        <w:t xml:space="preserve">1.2. For fully enclosed areas below the design flood elevation where provisions to allow for the automatic entry and exit of floodwaters do not meet the minimum requirements in Section 2.6.2.1 of ASCE 24, </w:t>
      </w:r>
      <w:r w:rsidRPr="00903D51">
        <w:rPr>
          <w:i/>
          <w:iCs/>
          <w:color w:val="0D0D0D"/>
        </w:rPr>
        <w:t xml:space="preserve">construction documents </w:t>
      </w:r>
      <w:r w:rsidRPr="00903D51">
        <w:rPr>
          <w:color w:val="0D0D0D"/>
        </w:rPr>
        <w:t>shall include a statement that the design will provide for equalization of hydrostatic flood forces in accordance with Section 2.6.2.2 of</w:t>
      </w:r>
      <w:r w:rsidR="0027052D">
        <w:rPr>
          <w:color w:val="0D0D0D"/>
        </w:rPr>
        <w:t xml:space="preserve"> </w:t>
      </w:r>
      <w:r w:rsidRPr="00903D51">
        <w:rPr>
          <w:color w:val="0D0D0D"/>
        </w:rPr>
        <w:t xml:space="preserve">ASCE 24. </w:t>
      </w:r>
    </w:p>
    <w:p w:rsidR="00903D51" w:rsidRDefault="00903D51" w:rsidP="00903D51">
      <w:pPr>
        <w:autoSpaceDE w:val="0"/>
        <w:autoSpaceDN w:val="0"/>
        <w:adjustRightInd w:val="0"/>
        <w:spacing w:after="0" w:line="240" w:lineRule="auto"/>
        <w:ind w:firstLine="720"/>
        <w:rPr>
          <w:color w:val="0D0D0D"/>
        </w:rPr>
      </w:pPr>
      <w:r w:rsidRPr="00903D51">
        <w:rPr>
          <w:color w:val="0D0D0D"/>
        </w:rPr>
        <w:t xml:space="preserve">1.3. For dry </w:t>
      </w:r>
      <w:proofErr w:type="spellStart"/>
      <w:r w:rsidRPr="00903D51">
        <w:rPr>
          <w:color w:val="0D0D0D"/>
        </w:rPr>
        <w:t>floodproofed</w:t>
      </w:r>
      <w:proofErr w:type="spellEnd"/>
      <w:r w:rsidRPr="00903D51">
        <w:rPr>
          <w:color w:val="0D0D0D"/>
        </w:rPr>
        <w:t xml:space="preserve"> nonresidential buildings, </w:t>
      </w:r>
      <w:r w:rsidRPr="00903D51">
        <w:rPr>
          <w:i/>
          <w:iCs/>
          <w:color w:val="0D0D0D"/>
        </w:rPr>
        <w:t xml:space="preserve">construction documents </w:t>
      </w:r>
      <w:r w:rsidRPr="00903D51">
        <w:rPr>
          <w:color w:val="0D0D0D"/>
        </w:rPr>
        <w:t>shall include a statement that the d</w:t>
      </w:r>
      <w:r w:rsidRPr="00903D51">
        <w:rPr>
          <w:color w:val="333333"/>
        </w:rPr>
        <w:t>r</w:t>
      </w:r>
      <w:r w:rsidRPr="00903D51">
        <w:rPr>
          <w:color w:val="0D0D0D"/>
        </w:rPr>
        <w:t xml:space="preserve">y </w:t>
      </w:r>
      <w:proofErr w:type="spellStart"/>
      <w:r w:rsidRPr="00903D51">
        <w:rPr>
          <w:color w:val="0D0D0D"/>
        </w:rPr>
        <w:t>floodproofing</w:t>
      </w:r>
      <w:proofErr w:type="spellEnd"/>
      <w:r w:rsidRPr="00903D51">
        <w:rPr>
          <w:color w:val="0D0D0D"/>
        </w:rPr>
        <w:t xml:space="preserve"> is designed in accordance with ASCE 24.</w:t>
      </w:r>
    </w:p>
    <w:p w:rsidR="00903D51" w:rsidRDefault="00903D51" w:rsidP="00903D51">
      <w:pPr>
        <w:autoSpaceDE w:val="0"/>
        <w:autoSpaceDN w:val="0"/>
        <w:adjustRightInd w:val="0"/>
        <w:spacing w:after="0" w:line="240" w:lineRule="auto"/>
        <w:rPr>
          <w:color w:val="0D0D0D"/>
        </w:rPr>
      </w:pPr>
    </w:p>
    <w:p w:rsidR="00903D51" w:rsidRPr="00903D51" w:rsidRDefault="00903D51" w:rsidP="00903D51">
      <w:pPr>
        <w:autoSpaceDE w:val="0"/>
        <w:autoSpaceDN w:val="0"/>
        <w:adjustRightInd w:val="0"/>
        <w:spacing w:after="0" w:line="240" w:lineRule="auto"/>
        <w:rPr>
          <w:color w:val="0D0D0D"/>
        </w:rPr>
      </w:pPr>
      <w:r w:rsidRPr="00903D51">
        <w:rPr>
          <w:color w:val="0D0D0D"/>
        </w:rPr>
        <w:t xml:space="preserve">2. </w:t>
      </w:r>
      <w:r w:rsidR="0027052D">
        <w:rPr>
          <w:color w:val="0D0D0D"/>
        </w:rPr>
        <w:t xml:space="preserve"> </w:t>
      </w:r>
      <w:proofErr w:type="gramStart"/>
      <w:r w:rsidRPr="00903D51">
        <w:rPr>
          <w:color w:val="0D0D0D"/>
        </w:rPr>
        <w:t>For</w:t>
      </w:r>
      <w:proofErr w:type="gramEnd"/>
      <w:r w:rsidRPr="00903D51">
        <w:rPr>
          <w:color w:val="0D0D0D"/>
        </w:rPr>
        <w:t xml:space="preserve"> construction in flood hazard areas subject to </w:t>
      </w:r>
      <w:proofErr w:type="spellStart"/>
      <w:r w:rsidRPr="00903D51">
        <w:rPr>
          <w:color w:val="0D0D0D"/>
        </w:rPr>
        <w:t>highvelocity</w:t>
      </w:r>
      <w:proofErr w:type="spellEnd"/>
      <w:r>
        <w:rPr>
          <w:color w:val="0D0D0D"/>
        </w:rPr>
        <w:t xml:space="preserve"> </w:t>
      </w:r>
      <w:r w:rsidRPr="00903D51">
        <w:rPr>
          <w:color w:val="0D0D0D"/>
        </w:rPr>
        <w:t>wave action:</w:t>
      </w:r>
    </w:p>
    <w:p w:rsidR="00903D51" w:rsidRPr="00903D51" w:rsidRDefault="00903D51" w:rsidP="0027052D">
      <w:pPr>
        <w:autoSpaceDE w:val="0"/>
        <w:autoSpaceDN w:val="0"/>
        <w:adjustRightInd w:val="0"/>
        <w:spacing w:after="0" w:line="240" w:lineRule="auto"/>
        <w:ind w:firstLine="720"/>
        <w:rPr>
          <w:color w:val="0D0D0D"/>
        </w:rPr>
      </w:pPr>
      <w:r w:rsidRPr="00903D51">
        <w:rPr>
          <w:color w:val="0D0D0D"/>
        </w:rPr>
        <w:t>2.1. The elevation of the bottom of the lowest horizontal</w:t>
      </w:r>
      <w:r>
        <w:rPr>
          <w:color w:val="0D0D0D"/>
        </w:rPr>
        <w:t xml:space="preserve"> </w:t>
      </w:r>
      <w:r w:rsidRPr="00903D51">
        <w:rPr>
          <w:color w:val="0D0D0D"/>
        </w:rPr>
        <w:t>structural member as required by the</w:t>
      </w:r>
      <w:r>
        <w:rPr>
          <w:color w:val="0D0D0D"/>
        </w:rPr>
        <w:t xml:space="preserve"> </w:t>
      </w:r>
      <w:r w:rsidRPr="00903D51">
        <w:rPr>
          <w:color w:val="0D0D0D"/>
        </w:rPr>
        <w:t>lowest floor elevation inspection in Section</w:t>
      </w:r>
      <w:r>
        <w:rPr>
          <w:color w:val="0D0D0D"/>
        </w:rPr>
        <w:t xml:space="preserve"> </w:t>
      </w:r>
      <w:r w:rsidRPr="00903D51">
        <w:rPr>
          <w:color w:val="0D0D0D"/>
        </w:rPr>
        <w:t>110.3.3.</w:t>
      </w:r>
    </w:p>
    <w:p w:rsidR="00903D51" w:rsidRDefault="00903D51" w:rsidP="0027052D">
      <w:pPr>
        <w:autoSpaceDE w:val="0"/>
        <w:autoSpaceDN w:val="0"/>
        <w:adjustRightInd w:val="0"/>
        <w:spacing w:after="0" w:line="240" w:lineRule="auto"/>
        <w:ind w:firstLine="720"/>
        <w:rPr>
          <w:color w:val="0D0D0D"/>
        </w:rPr>
      </w:pPr>
      <w:r w:rsidRPr="00903D51">
        <w:rPr>
          <w:color w:val="0D0D0D"/>
        </w:rPr>
        <w:t xml:space="preserve">2.2. </w:t>
      </w:r>
      <w:r w:rsidRPr="00903D51">
        <w:rPr>
          <w:i/>
          <w:iCs/>
          <w:color w:val="0D0D0D"/>
        </w:rPr>
        <w:t>Construction document:</w:t>
      </w:r>
      <w:proofErr w:type="gramStart"/>
      <w:r w:rsidRPr="00903D51">
        <w:rPr>
          <w:i/>
          <w:iCs/>
          <w:color w:val="0D0D0D"/>
        </w:rPr>
        <w:t>,</w:t>
      </w:r>
      <w:r w:rsidRPr="00903D51">
        <w:rPr>
          <w:i/>
          <w:iCs/>
          <w:color w:val="333333"/>
        </w:rPr>
        <w:t>·</w:t>
      </w:r>
      <w:proofErr w:type="gramEnd"/>
      <w:r w:rsidRPr="00903D51">
        <w:rPr>
          <w:i/>
          <w:iCs/>
          <w:color w:val="333333"/>
        </w:rPr>
        <w:t xml:space="preserve"> </w:t>
      </w:r>
      <w:r w:rsidRPr="00903D51">
        <w:rPr>
          <w:color w:val="0D0D0D"/>
        </w:rPr>
        <w:t>shall include a statement</w:t>
      </w:r>
      <w:r>
        <w:rPr>
          <w:color w:val="0D0D0D"/>
        </w:rPr>
        <w:t xml:space="preserve"> </w:t>
      </w:r>
      <w:r w:rsidRPr="00903D51">
        <w:rPr>
          <w:color w:val="0D0D0D"/>
        </w:rPr>
        <w:t xml:space="preserve">that the building is designed in </w:t>
      </w:r>
      <w:r>
        <w:rPr>
          <w:color w:val="0D0D0D"/>
        </w:rPr>
        <w:t>a</w:t>
      </w:r>
      <w:r w:rsidRPr="00903D51">
        <w:rPr>
          <w:color w:val="0D0D0D"/>
        </w:rPr>
        <w:t>ccordance</w:t>
      </w:r>
      <w:r>
        <w:rPr>
          <w:color w:val="0D0D0D"/>
        </w:rPr>
        <w:t xml:space="preserve"> </w:t>
      </w:r>
      <w:r w:rsidRPr="00903D51">
        <w:rPr>
          <w:color w:val="0D0D0D"/>
        </w:rPr>
        <w:t>with ASCE 24, including that the pile or</w:t>
      </w:r>
      <w:r>
        <w:rPr>
          <w:color w:val="0D0D0D"/>
        </w:rPr>
        <w:t xml:space="preserve"> </w:t>
      </w:r>
      <w:r w:rsidRPr="00903D51">
        <w:rPr>
          <w:color w:val="0D0D0D"/>
        </w:rPr>
        <w:t>column foundation and building or structure to</w:t>
      </w:r>
      <w:r>
        <w:rPr>
          <w:color w:val="0D0D0D"/>
        </w:rPr>
        <w:t xml:space="preserve"> </w:t>
      </w:r>
      <w:r w:rsidRPr="00903D51">
        <w:rPr>
          <w:color w:val="0D0D0D"/>
        </w:rPr>
        <w:t>be attached thereto is designed to be anchored to resist flotation, collapse and lateral movement</w:t>
      </w:r>
      <w:r>
        <w:rPr>
          <w:color w:val="0D0D0D"/>
        </w:rPr>
        <w:t xml:space="preserve"> </w:t>
      </w:r>
      <w:r w:rsidRPr="00903D51">
        <w:rPr>
          <w:color w:val="0D0D0D"/>
        </w:rPr>
        <w:t>due to the effects of wind and flood loads acting simultaneously on all building components, and other load requi</w:t>
      </w:r>
      <w:r w:rsidRPr="00903D51">
        <w:rPr>
          <w:color w:val="272727"/>
        </w:rPr>
        <w:t>r</w:t>
      </w:r>
      <w:r w:rsidRPr="00903D51">
        <w:rPr>
          <w:color w:val="0D0D0D"/>
        </w:rPr>
        <w:t>ements of Chapter 16</w:t>
      </w:r>
      <w:r w:rsidR="0027052D">
        <w:rPr>
          <w:color w:val="0D0D0D"/>
        </w:rPr>
        <w:t>.</w:t>
      </w:r>
    </w:p>
    <w:p w:rsidR="003D61A3" w:rsidRDefault="003D61A3" w:rsidP="0027052D">
      <w:pPr>
        <w:autoSpaceDE w:val="0"/>
        <w:autoSpaceDN w:val="0"/>
        <w:adjustRightInd w:val="0"/>
        <w:spacing w:after="0" w:line="240" w:lineRule="auto"/>
        <w:ind w:firstLine="720"/>
        <w:rPr>
          <w:color w:val="0D0D0D"/>
        </w:rPr>
      </w:pPr>
    </w:p>
    <w:p w:rsidR="003D61A3" w:rsidRDefault="003D61A3" w:rsidP="0027052D">
      <w:pPr>
        <w:autoSpaceDE w:val="0"/>
        <w:autoSpaceDN w:val="0"/>
        <w:adjustRightInd w:val="0"/>
        <w:spacing w:after="0" w:line="240" w:lineRule="auto"/>
        <w:ind w:firstLine="720"/>
        <w:rPr>
          <w:color w:val="0D0D0D"/>
        </w:rPr>
      </w:pPr>
    </w:p>
    <w:p w:rsidR="0027052D" w:rsidRPr="00903D51" w:rsidRDefault="0027052D" w:rsidP="00903D51">
      <w:pPr>
        <w:autoSpaceDE w:val="0"/>
        <w:autoSpaceDN w:val="0"/>
        <w:adjustRightInd w:val="0"/>
        <w:spacing w:after="0" w:line="240" w:lineRule="auto"/>
      </w:pPr>
    </w:p>
    <w:sectPr w:rsidR="0027052D" w:rsidRPr="00903D51" w:rsidSect="00E67A2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53E77"/>
    <w:rsid w:val="000869E5"/>
    <w:rsid w:val="001C2CCA"/>
    <w:rsid w:val="00253DA6"/>
    <w:rsid w:val="0027052D"/>
    <w:rsid w:val="003D61A3"/>
    <w:rsid w:val="003E2358"/>
    <w:rsid w:val="004F25A9"/>
    <w:rsid w:val="005036A5"/>
    <w:rsid w:val="00903D51"/>
    <w:rsid w:val="00A225B9"/>
    <w:rsid w:val="00A2747B"/>
    <w:rsid w:val="00A92977"/>
    <w:rsid w:val="00AB082B"/>
    <w:rsid w:val="00B23C40"/>
    <w:rsid w:val="00B53E77"/>
    <w:rsid w:val="00D8796E"/>
    <w:rsid w:val="00E67A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A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7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7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3</Pages>
  <Words>463</Words>
  <Characters>2344</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Dammon Engineering</Company>
  <LinksUpToDate>false</LinksUpToDate>
  <CharactersWithSpaces>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7</cp:revision>
  <dcterms:created xsi:type="dcterms:W3CDTF">2016-05-26T14:22:00Z</dcterms:created>
  <dcterms:modified xsi:type="dcterms:W3CDTF">2016-06-01T22:18:00Z</dcterms:modified>
</cp:coreProperties>
</file>