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873EC9" w:rsidRDefault="00873EC9" w:rsidP="006F688D">
      <w:pPr>
        <w:pStyle w:val="Header"/>
        <w:jc w:val="right"/>
        <w:rPr>
          <w:color w:val="808080"/>
          <w:sz w:val="20"/>
          <w:szCs w:val="20"/>
        </w:rPr>
      </w:pP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1409AC"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105C62" w:rsidP="00105C62">
      <w:pPr>
        <w:ind w:left="720"/>
      </w:pP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Lisa de la </w:t>
      </w:r>
      <w:proofErr w:type="spellStart"/>
      <w:r w:rsidRPr="0064289B">
        <w:rPr>
          <w:rFonts w:asciiTheme="majorHAnsi" w:hAnsiTheme="majorHAnsi"/>
          <w:sz w:val="20"/>
          <w:szCs w:val="20"/>
        </w:rPr>
        <w:t>Fuente</w:t>
      </w:r>
      <w:proofErr w:type="spellEnd"/>
      <w:r w:rsidRPr="0064289B">
        <w:rPr>
          <w:rFonts w:asciiTheme="majorHAnsi" w:hAnsiTheme="majorHAnsi"/>
          <w:sz w:val="20"/>
          <w:szCs w:val="20"/>
        </w:rPr>
        <w:t xml:space="preserve">, E.I. II </w:t>
      </w: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LDH OFFICE OF PUBLIC HEALTH, REGION IX </w:t>
      </w: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42354 West Club Deluxe Road, Suite 12 </w:t>
      </w: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Hammond LOUISIANA 70403</w:t>
      </w:r>
    </w:p>
    <w:p w:rsidR="006C48A3" w:rsidRPr="0064289B" w:rsidRDefault="006C48A3" w:rsidP="006C48A3">
      <w:pPr>
        <w:pStyle w:val="Default"/>
        <w:rPr>
          <w:rFonts w:asciiTheme="majorHAnsi" w:hAnsiTheme="majorHAnsi"/>
          <w:sz w:val="20"/>
          <w:szCs w:val="20"/>
        </w:rPr>
      </w:pPr>
    </w:p>
    <w:p w:rsidR="006C48A3" w:rsidRPr="0064289B" w:rsidRDefault="006C48A3" w:rsidP="006C48A3">
      <w:pPr>
        <w:pStyle w:val="Default"/>
        <w:rPr>
          <w:rFonts w:asciiTheme="majorHAnsi" w:hAnsiTheme="majorHAnsi"/>
          <w:sz w:val="20"/>
          <w:szCs w:val="20"/>
        </w:rPr>
      </w:pP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Re: </w:t>
      </w:r>
      <w:proofErr w:type="spellStart"/>
      <w:r w:rsidRPr="0064289B">
        <w:rPr>
          <w:rFonts w:asciiTheme="majorHAnsi" w:hAnsiTheme="majorHAnsi"/>
          <w:sz w:val="20"/>
          <w:szCs w:val="20"/>
        </w:rPr>
        <w:t>Habaneros</w:t>
      </w:r>
      <w:proofErr w:type="spellEnd"/>
      <w:r w:rsidRPr="0064289B">
        <w:rPr>
          <w:rFonts w:asciiTheme="majorHAnsi" w:hAnsiTheme="majorHAnsi"/>
          <w:sz w:val="20"/>
          <w:szCs w:val="20"/>
        </w:rPr>
        <w:t xml:space="preserve"> Mexican Restaurant Spray Field </w:t>
      </w: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      5 K-Rain Spray Heads </w:t>
      </w: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      Madisonville, LA </w:t>
      </w: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      St. Tammany Parish</w:t>
      </w:r>
    </w:p>
    <w:p w:rsidR="006C48A3" w:rsidRPr="0064289B" w:rsidRDefault="006C48A3" w:rsidP="006C48A3">
      <w:pPr>
        <w:pStyle w:val="Default"/>
        <w:rPr>
          <w:rFonts w:asciiTheme="majorHAnsi" w:hAnsiTheme="majorHAnsi"/>
          <w:i/>
          <w:sz w:val="20"/>
          <w:szCs w:val="20"/>
        </w:rPr>
      </w:pP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Ms. de la </w:t>
      </w:r>
      <w:proofErr w:type="spellStart"/>
      <w:r w:rsidRPr="0064289B">
        <w:rPr>
          <w:rFonts w:asciiTheme="majorHAnsi" w:hAnsiTheme="majorHAnsi"/>
          <w:sz w:val="20"/>
          <w:szCs w:val="20"/>
        </w:rPr>
        <w:t>Fuente</w:t>
      </w:r>
      <w:proofErr w:type="spellEnd"/>
      <w:r w:rsidRPr="0064289B">
        <w:rPr>
          <w:rFonts w:asciiTheme="majorHAnsi" w:hAnsiTheme="majorHAnsi"/>
          <w:sz w:val="20"/>
          <w:szCs w:val="20"/>
        </w:rPr>
        <w:t>,</w:t>
      </w:r>
    </w:p>
    <w:p w:rsidR="006C48A3" w:rsidRPr="0064289B" w:rsidRDefault="006C48A3" w:rsidP="006C48A3">
      <w:pPr>
        <w:pStyle w:val="Default"/>
        <w:rPr>
          <w:rFonts w:asciiTheme="majorHAnsi" w:hAnsiTheme="majorHAnsi"/>
          <w:sz w:val="20"/>
          <w:szCs w:val="20"/>
        </w:rPr>
      </w:pPr>
    </w:p>
    <w:p w:rsidR="006C48A3" w:rsidRPr="0064289B" w:rsidRDefault="006C48A3" w:rsidP="006C48A3">
      <w:pPr>
        <w:pStyle w:val="Default"/>
        <w:rPr>
          <w:rFonts w:asciiTheme="majorHAnsi" w:hAnsiTheme="majorHAnsi"/>
          <w:i/>
          <w:sz w:val="20"/>
          <w:szCs w:val="20"/>
        </w:rPr>
      </w:pPr>
      <w:r w:rsidRPr="0064289B">
        <w:rPr>
          <w:rFonts w:asciiTheme="majorHAnsi" w:hAnsiTheme="majorHAnsi"/>
          <w:sz w:val="20"/>
          <w:szCs w:val="20"/>
        </w:rPr>
        <w:t xml:space="preserve">In reference to your correspondence </w:t>
      </w:r>
      <w:proofErr w:type="gramStart"/>
      <w:r w:rsidRPr="0064289B">
        <w:rPr>
          <w:rFonts w:asciiTheme="majorHAnsi" w:hAnsiTheme="majorHAnsi"/>
          <w:sz w:val="20"/>
          <w:szCs w:val="20"/>
        </w:rPr>
        <w:t>of  November</w:t>
      </w:r>
      <w:proofErr w:type="gramEnd"/>
      <w:r w:rsidRPr="0064289B">
        <w:rPr>
          <w:rFonts w:asciiTheme="majorHAnsi" w:hAnsiTheme="majorHAnsi"/>
          <w:sz w:val="20"/>
          <w:szCs w:val="20"/>
        </w:rPr>
        <w:t xml:space="preserve"> 23, 2020 the following information is presented for your consideration.  To specifically address each concern:</w:t>
      </w:r>
    </w:p>
    <w:p w:rsidR="006C48A3" w:rsidRPr="0064289B" w:rsidRDefault="006C48A3" w:rsidP="006C48A3">
      <w:pPr>
        <w:pStyle w:val="Default"/>
        <w:rPr>
          <w:rFonts w:asciiTheme="majorHAnsi" w:hAnsiTheme="majorHAnsi"/>
          <w:i/>
          <w:sz w:val="20"/>
          <w:szCs w:val="20"/>
        </w:rPr>
      </w:pPr>
    </w:p>
    <w:p w:rsidR="006C48A3" w:rsidRPr="0064289B" w:rsidRDefault="006C48A3" w:rsidP="006C48A3">
      <w:pPr>
        <w:pStyle w:val="Default"/>
        <w:rPr>
          <w:rFonts w:asciiTheme="majorHAnsi" w:hAnsiTheme="majorHAnsi"/>
          <w:i/>
          <w:sz w:val="20"/>
          <w:szCs w:val="20"/>
        </w:rPr>
      </w:pPr>
    </w:p>
    <w:p w:rsidR="006C48A3" w:rsidRDefault="006C48A3" w:rsidP="006C48A3">
      <w:pPr>
        <w:pStyle w:val="Default"/>
        <w:numPr>
          <w:ilvl w:val="0"/>
          <w:numId w:val="11"/>
        </w:numPr>
        <w:rPr>
          <w:rFonts w:asciiTheme="majorHAnsi" w:hAnsiTheme="majorHAnsi"/>
          <w:i/>
          <w:sz w:val="20"/>
          <w:szCs w:val="20"/>
        </w:rPr>
      </w:pPr>
      <w:r w:rsidRPr="0064289B">
        <w:rPr>
          <w:rFonts w:asciiTheme="majorHAnsi" w:hAnsiTheme="majorHAnsi"/>
          <w:i/>
          <w:sz w:val="20"/>
          <w:szCs w:val="20"/>
        </w:rPr>
        <w:t xml:space="preserve">Please provide the name of the certified operator for the wastewater treatment plant and spray irrigation system. </w:t>
      </w:r>
    </w:p>
    <w:p w:rsidR="006C48A3" w:rsidRPr="00D176D0" w:rsidRDefault="006C48A3" w:rsidP="006C48A3">
      <w:pPr>
        <w:pStyle w:val="Default"/>
        <w:ind w:left="360"/>
        <w:rPr>
          <w:rFonts w:asciiTheme="majorHAnsi" w:hAnsiTheme="majorHAnsi"/>
          <w:i/>
          <w:sz w:val="20"/>
          <w:szCs w:val="20"/>
        </w:rPr>
      </w:pPr>
    </w:p>
    <w:p w:rsidR="006C48A3" w:rsidRPr="0064289B" w:rsidRDefault="006C48A3" w:rsidP="006C48A3">
      <w:pPr>
        <w:rPr>
          <w:rFonts w:asciiTheme="majorHAnsi" w:hAnsiTheme="majorHAnsi"/>
          <w:sz w:val="20"/>
          <w:szCs w:val="20"/>
        </w:rPr>
      </w:pPr>
      <w:r>
        <w:rPr>
          <w:rFonts w:asciiTheme="majorHAnsi" w:hAnsiTheme="majorHAnsi"/>
          <w:sz w:val="20"/>
          <w:szCs w:val="20"/>
        </w:rPr>
        <w:t>The operator shall be</w:t>
      </w:r>
      <w:r w:rsidRPr="0064289B">
        <w:rPr>
          <w:rFonts w:asciiTheme="majorHAnsi" w:hAnsiTheme="majorHAnsi"/>
          <w:sz w:val="20"/>
          <w:szCs w:val="20"/>
        </w:rPr>
        <w:t xml:space="preserve"> </w:t>
      </w:r>
      <w:r>
        <w:rPr>
          <w:rFonts w:asciiTheme="majorHAnsi" w:hAnsiTheme="majorHAnsi"/>
          <w:sz w:val="20"/>
          <w:szCs w:val="20"/>
        </w:rPr>
        <w:t>David Curtis of Curtis Environmental (Located in St. Tammany Parish).</w:t>
      </w: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 </w:t>
      </w:r>
    </w:p>
    <w:p w:rsidR="006C48A3" w:rsidRPr="0064289B" w:rsidRDefault="006C48A3" w:rsidP="006C48A3">
      <w:pPr>
        <w:pStyle w:val="Default"/>
        <w:rPr>
          <w:rFonts w:asciiTheme="majorHAnsi" w:hAnsiTheme="majorHAnsi"/>
          <w:i/>
          <w:sz w:val="20"/>
          <w:szCs w:val="20"/>
        </w:rPr>
      </w:pPr>
      <w:proofErr w:type="gramStart"/>
      <w:r w:rsidRPr="0064289B">
        <w:rPr>
          <w:rFonts w:asciiTheme="majorHAnsi" w:hAnsiTheme="majorHAnsi"/>
          <w:i/>
          <w:sz w:val="20"/>
          <w:szCs w:val="20"/>
        </w:rPr>
        <w:t>2  Please</w:t>
      </w:r>
      <w:proofErr w:type="gramEnd"/>
      <w:r w:rsidRPr="0064289B">
        <w:rPr>
          <w:rFonts w:asciiTheme="majorHAnsi" w:hAnsiTheme="majorHAnsi"/>
          <w:i/>
          <w:sz w:val="20"/>
          <w:szCs w:val="20"/>
        </w:rPr>
        <w:t xml:space="preserve"> confirm the effluent will not discharge into a receiving stream and will not leave the owner’s property. </w:t>
      </w:r>
    </w:p>
    <w:p w:rsidR="006C48A3" w:rsidRPr="0064289B" w:rsidRDefault="006C48A3" w:rsidP="006C48A3">
      <w:pPr>
        <w:pStyle w:val="Default"/>
        <w:rPr>
          <w:rFonts w:asciiTheme="majorHAnsi" w:hAnsiTheme="majorHAnsi"/>
          <w:sz w:val="20"/>
          <w:szCs w:val="20"/>
        </w:rPr>
      </w:pPr>
    </w:p>
    <w:p w:rsidR="006C48A3" w:rsidRPr="00D176D0" w:rsidRDefault="006C48A3" w:rsidP="006C48A3">
      <w:pPr>
        <w:pStyle w:val="Default"/>
        <w:rPr>
          <w:rFonts w:asciiTheme="majorHAnsi" w:hAnsiTheme="majorHAnsi"/>
          <w:bCs/>
          <w:sz w:val="20"/>
          <w:szCs w:val="20"/>
        </w:rPr>
      </w:pPr>
      <w:r w:rsidRPr="005959E3">
        <w:rPr>
          <w:rFonts w:asciiTheme="majorHAnsi" w:hAnsiTheme="majorHAnsi"/>
          <w:sz w:val="20"/>
          <w:szCs w:val="20"/>
        </w:rPr>
        <w:t xml:space="preserve">The design of the spray field area and its absorption potential is such that all effluent (1995 gallons maximum) will be absorbed into the ground on </w:t>
      </w:r>
      <w:proofErr w:type="spellStart"/>
      <w:r w:rsidRPr="005959E3">
        <w:rPr>
          <w:rFonts w:asciiTheme="majorHAnsi" w:hAnsiTheme="majorHAnsi"/>
          <w:sz w:val="20"/>
          <w:szCs w:val="20"/>
        </w:rPr>
        <w:t>Habaneros</w:t>
      </w:r>
      <w:proofErr w:type="spellEnd"/>
      <w:r w:rsidRPr="005959E3">
        <w:rPr>
          <w:rFonts w:asciiTheme="majorHAnsi" w:hAnsiTheme="majorHAnsi"/>
          <w:sz w:val="20"/>
          <w:szCs w:val="20"/>
        </w:rPr>
        <w:t xml:space="preserve"> property and thereby none leaving the property.   The calculated daily effluent depth on the spray field area is 0.404 centimeters.  The Abita Silt Loam USDA Soil Infiltration Rate is 1.27 centimeters which is more than adequate to absorb all water (over 300%).  This information was provided in the initial transmittal cover letter and attached information sheets dated September 12, 2020 sent to Mr. Jacob </w:t>
      </w:r>
      <w:proofErr w:type="spellStart"/>
      <w:r w:rsidRPr="005959E3">
        <w:rPr>
          <w:rFonts w:asciiTheme="majorHAnsi" w:hAnsiTheme="majorHAnsi"/>
          <w:sz w:val="20"/>
          <w:szCs w:val="20"/>
        </w:rPr>
        <w:t>Haffner</w:t>
      </w:r>
      <w:proofErr w:type="spellEnd"/>
      <w:r w:rsidRPr="005959E3">
        <w:rPr>
          <w:rFonts w:asciiTheme="majorHAnsi" w:hAnsiTheme="majorHAnsi"/>
          <w:sz w:val="20"/>
          <w:szCs w:val="20"/>
        </w:rPr>
        <w:t>.   (</w:t>
      </w:r>
      <w:proofErr w:type="gramStart"/>
      <w:r w:rsidRPr="005959E3">
        <w:rPr>
          <w:rFonts w:asciiTheme="majorHAnsi" w:hAnsiTheme="majorHAnsi"/>
          <w:sz w:val="20"/>
          <w:szCs w:val="20"/>
        </w:rPr>
        <w:t>see</w:t>
      </w:r>
      <w:proofErr w:type="gramEnd"/>
      <w:r w:rsidRPr="005959E3">
        <w:rPr>
          <w:rFonts w:asciiTheme="majorHAnsi" w:hAnsiTheme="majorHAnsi"/>
          <w:sz w:val="20"/>
          <w:szCs w:val="20"/>
        </w:rPr>
        <w:t xml:space="preserve"> </w:t>
      </w:r>
      <w:r w:rsidRPr="005959E3">
        <w:rPr>
          <w:rFonts w:asciiTheme="majorHAnsi" w:hAnsiTheme="majorHAnsi"/>
          <w:bCs/>
          <w:sz w:val="20"/>
          <w:szCs w:val="20"/>
        </w:rPr>
        <w:t>USDA Infiltration Rate Sheet and Soil Type Map and Legend</w:t>
      </w:r>
      <w:r>
        <w:rPr>
          <w:rFonts w:asciiTheme="majorHAnsi" w:hAnsiTheme="majorHAnsi"/>
          <w:bCs/>
          <w:sz w:val="20"/>
          <w:szCs w:val="20"/>
        </w:rPr>
        <w:t xml:space="preserve">)  </w:t>
      </w:r>
      <w:r w:rsidRPr="00D176D0">
        <w:rPr>
          <w:rFonts w:asciiTheme="majorHAnsi" w:hAnsiTheme="majorHAnsi"/>
          <w:sz w:val="20"/>
          <w:szCs w:val="20"/>
        </w:rPr>
        <w:t xml:space="preserve">There is no immediate receiving stream near this property.  </w:t>
      </w: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  </w:t>
      </w: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 </w:t>
      </w:r>
    </w:p>
    <w:p w:rsidR="006C48A3" w:rsidRDefault="006C48A3" w:rsidP="006C48A3">
      <w:pPr>
        <w:pStyle w:val="Default"/>
        <w:rPr>
          <w:rFonts w:asciiTheme="majorHAnsi" w:hAnsiTheme="majorHAnsi"/>
          <w:i/>
          <w:sz w:val="20"/>
          <w:szCs w:val="20"/>
        </w:rPr>
      </w:pPr>
      <w:r w:rsidRPr="0064289B">
        <w:rPr>
          <w:rFonts w:asciiTheme="majorHAnsi" w:hAnsiTheme="majorHAnsi"/>
          <w:i/>
          <w:sz w:val="20"/>
          <w:szCs w:val="20"/>
        </w:rPr>
        <w:t xml:space="preserve">3 Please revise the engineering plans to include all design specifications. </w:t>
      </w:r>
    </w:p>
    <w:p w:rsidR="006C48A3" w:rsidRDefault="006C48A3" w:rsidP="006C48A3">
      <w:pPr>
        <w:pStyle w:val="Default"/>
        <w:rPr>
          <w:rFonts w:asciiTheme="majorHAnsi" w:hAnsiTheme="majorHAnsi"/>
          <w:i/>
          <w:sz w:val="20"/>
          <w:szCs w:val="20"/>
        </w:rPr>
      </w:pPr>
    </w:p>
    <w:p w:rsidR="006C48A3" w:rsidRPr="005959E3" w:rsidRDefault="006C48A3" w:rsidP="006C48A3">
      <w:pPr>
        <w:pStyle w:val="Default"/>
        <w:rPr>
          <w:rFonts w:asciiTheme="majorHAnsi" w:hAnsiTheme="majorHAnsi"/>
          <w:sz w:val="20"/>
          <w:szCs w:val="20"/>
        </w:rPr>
      </w:pPr>
      <w:r w:rsidRPr="005959E3">
        <w:rPr>
          <w:rFonts w:asciiTheme="majorHAnsi" w:hAnsiTheme="majorHAnsi"/>
          <w:sz w:val="20"/>
          <w:szCs w:val="20"/>
        </w:rPr>
        <w:t xml:space="preserve">Plans sheet </w:t>
      </w:r>
      <w:r>
        <w:rPr>
          <w:rFonts w:asciiTheme="majorHAnsi" w:hAnsiTheme="majorHAnsi"/>
          <w:sz w:val="20"/>
          <w:szCs w:val="20"/>
        </w:rPr>
        <w:t xml:space="preserve">SF 101 </w:t>
      </w:r>
      <w:r w:rsidRPr="005959E3">
        <w:rPr>
          <w:rFonts w:asciiTheme="majorHAnsi" w:hAnsiTheme="majorHAnsi"/>
          <w:sz w:val="20"/>
          <w:szCs w:val="20"/>
        </w:rPr>
        <w:t>has been updated to include additional specification</w:t>
      </w:r>
      <w:r>
        <w:rPr>
          <w:rFonts w:asciiTheme="majorHAnsi" w:hAnsiTheme="majorHAnsi"/>
          <w:sz w:val="20"/>
          <w:szCs w:val="20"/>
        </w:rPr>
        <w:t>s.  (See updated sheet)</w:t>
      </w:r>
    </w:p>
    <w:p w:rsidR="006C48A3" w:rsidRPr="0064289B" w:rsidRDefault="006C48A3" w:rsidP="006C48A3">
      <w:pPr>
        <w:pStyle w:val="Default"/>
        <w:rPr>
          <w:rFonts w:asciiTheme="majorHAnsi" w:hAnsiTheme="majorHAnsi"/>
          <w:sz w:val="20"/>
          <w:szCs w:val="20"/>
        </w:rPr>
      </w:pP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 </w:t>
      </w:r>
    </w:p>
    <w:p w:rsidR="006C48A3" w:rsidRPr="0064289B" w:rsidRDefault="006C48A3" w:rsidP="006C48A3">
      <w:pPr>
        <w:pStyle w:val="Default"/>
        <w:rPr>
          <w:rFonts w:asciiTheme="majorHAnsi" w:hAnsiTheme="majorHAnsi"/>
          <w:i/>
          <w:sz w:val="20"/>
          <w:szCs w:val="20"/>
        </w:rPr>
      </w:pPr>
      <w:r w:rsidRPr="0064289B">
        <w:rPr>
          <w:rFonts w:asciiTheme="majorHAnsi" w:hAnsiTheme="majorHAnsi"/>
          <w:i/>
          <w:sz w:val="20"/>
          <w:szCs w:val="20"/>
        </w:rPr>
        <w:t xml:space="preserve">4 Please provide a letter from LDEQ confirming no discharge will leave the site. </w:t>
      </w:r>
    </w:p>
    <w:p w:rsidR="006C48A3" w:rsidRPr="0064289B" w:rsidRDefault="006C48A3" w:rsidP="006C48A3">
      <w:pPr>
        <w:pStyle w:val="Default"/>
        <w:rPr>
          <w:rFonts w:asciiTheme="majorHAnsi" w:hAnsiTheme="majorHAnsi"/>
          <w:sz w:val="20"/>
          <w:szCs w:val="20"/>
        </w:rPr>
      </w:pPr>
    </w:p>
    <w:p w:rsidR="006C48A3" w:rsidRDefault="006C48A3" w:rsidP="006C48A3">
      <w:pPr>
        <w:pStyle w:val="Default"/>
        <w:rPr>
          <w:rFonts w:asciiTheme="majorHAnsi" w:hAnsiTheme="majorHAnsi"/>
          <w:sz w:val="20"/>
          <w:szCs w:val="20"/>
        </w:rPr>
      </w:pPr>
      <w:r>
        <w:rPr>
          <w:rFonts w:asciiTheme="majorHAnsi" w:hAnsiTheme="majorHAnsi"/>
          <w:sz w:val="20"/>
          <w:szCs w:val="20"/>
        </w:rPr>
        <w:t xml:space="preserve">Please see attached letter of January 5, 2021 from the DEQ signed by Kimberley </w:t>
      </w:r>
      <w:proofErr w:type="spellStart"/>
      <w:r>
        <w:rPr>
          <w:rFonts w:asciiTheme="majorHAnsi" w:hAnsiTheme="majorHAnsi"/>
          <w:sz w:val="20"/>
          <w:szCs w:val="20"/>
        </w:rPr>
        <w:t>Corts</w:t>
      </w:r>
      <w:proofErr w:type="spellEnd"/>
      <w:r>
        <w:rPr>
          <w:rFonts w:asciiTheme="majorHAnsi" w:hAnsiTheme="majorHAnsi"/>
          <w:sz w:val="20"/>
          <w:szCs w:val="20"/>
        </w:rPr>
        <w:t xml:space="preserve">. </w:t>
      </w: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 </w:t>
      </w:r>
    </w:p>
    <w:p w:rsidR="006C48A3" w:rsidRPr="0064289B" w:rsidRDefault="006C48A3" w:rsidP="006C48A3">
      <w:pPr>
        <w:pStyle w:val="Default"/>
        <w:rPr>
          <w:rFonts w:asciiTheme="majorHAnsi" w:hAnsiTheme="majorHAnsi"/>
          <w:i/>
          <w:sz w:val="20"/>
          <w:szCs w:val="20"/>
        </w:rPr>
      </w:pPr>
      <w:r w:rsidRPr="0064289B">
        <w:rPr>
          <w:rFonts w:asciiTheme="majorHAnsi" w:hAnsiTheme="majorHAnsi"/>
          <w:i/>
          <w:sz w:val="20"/>
          <w:szCs w:val="20"/>
        </w:rPr>
        <w:t xml:space="preserve">5 Please provide supporting calculations and documentation determining absorption, evaporation, field/land area required, influence of rain and flooding in the area, and the aerosol potential effect on surrounding property. </w:t>
      </w:r>
    </w:p>
    <w:p w:rsidR="006C48A3" w:rsidRDefault="006C48A3" w:rsidP="006C48A3">
      <w:pPr>
        <w:pStyle w:val="Default"/>
        <w:rPr>
          <w:rFonts w:asciiTheme="majorHAnsi" w:hAnsiTheme="majorHAnsi"/>
          <w:sz w:val="20"/>
          <w:szCs w:val="20"/>
        </w:rPr>
      </w:pPr>
      <w:r>
        <w:rPr>
          <w:rFonts w:asciiTheme="majorHAnsi" w:hAnsiTheme="majorHAnsi"/>
          <w:sz w:val="20"/>
          <w:szCs w:val="20"/>
        </w:rPr>
        <w:lastRenderedPageBreak/>
        <w:t>01-11-2021</w:t>
      </w:r>
    </w:p>
    <w:p w:rsidR="006C48A3" w:rsidRDefault="006C48A3" w:rsidP="006C48A3">
      <w:pPr>
        <w:pStyle w:val="Default"/>
        <w:rPr>
          <w:rFonts w:asciiTheme="majorHAnsi" w:hAnsiTheme="majorHAnsi"/>
          <w:sz w:val="20"/>
          <w:szCs w:val="20"/>
        </w:rPr>
      </w:pPr>
      <w:r>
        <w:rPr>
          <w:rFonts w:asciiTheme="majorHAnsi" w:hAnsiTheme="majorHAnsi"/>
          <w:sz w:val="20"/>
          <w:szCs w:val="20"/>
        </w:rPr>
        <w:t>Page2</w:t>
      </w:r>
    </w:p>
    <w:p w:rsidR="006C48A3" w:rsidRDefault="006C48A3" w:rsidP="006C48A3">
      <w:pPr>
        <w:pStyle w:val="Default"/>
        <w:rPr>
          <w:rFonts w:asciiTheme="majorHAnsi" w:hAnsiTheme="majorHAnsi"/>
          <w:sz w:val="20"/>
          <w:szCs w:val="20"/>
        </w:rPr>
      </w:pPr>
    </w:p>
    <w:p w:rsidR="006C48A3" w:rsidRDefault="006C48A3" w:rsidP="006C48A3">
      <w:pPr>
        <w:pStyle w:val="Default"/>
        <w:rPr>
          <w:rFonts w:asciiTheme="majorHAnsi" w:hAnsiTheme="majorHAnsi"/>
          <w:sz w:val="20"/>
          <w:szCs w:val="20"/>
        </w:rPr>
      </w:pPr>
    </w:p>
    <w:p w:rsidR="006C48A3" w:rsidRPr="0064289B" w:rsidRDefault="006C48A3" w:rsidP="006C48A3">
      <w:pPr>
        <w:pStyle w:val="Default"/>
        <w:rPr>
          <w:rFonts w:asciiTheme="majorHAnsi" w:hAnsiTheme="majorHAnsi"/>
          <w:sz w:val="20"/>
          <w:szCs w:val="20"/>
        </w:rPr>
      </w:pP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The initial submittal of September 12, 2020 provided supporting calculations and documentation determining absorption field/land area required.  Also see item # 2 in this letter.  The land area is not in a flood zone and can absorb an </w:t>
      </w:r>
      <w:proofErr w:type="spellStart"/>
      <w:r w:rsidRPr="0064289B">
        <w:rPr>
          <w:rFonts w:asciiTheme="majorHAnsi" w:hAnsiTheme="majorHAnsi"/>
          <w:sz w:val="20"/>
          <w:szCs w:val="20"/>
        </w:rPr>
        <w:t>additionl</w:t>
      </w:r>
      <w:proofErr w:type="spellEnd"/>
      <w:r w:rsidRPr="0064289B">
        <w:rPr>
          <w:rFonts w:asciiTheme="majorHAnsi" w:hAnsiTheme="majorHAnsi"/>
          <w:sz w:val="20"/>
          <w:szCs w:val="20"/>
        </w:rPr>
        <w:t xml:space="preserve"> 0.866 centimeters of water (daily) as rainfall.  Evaporation rates vary with temperature and humidity and are not a major factor in this project.  Transpiration rates and soil absorption handle the bulk of the moisture.     </w:t>
      </w:r>
    </w:p>
    <w:p w:rsidR="006C48A3" w:rsidRPr="0064289B" w:rsidRDefault="006C48A3" w:rsidP="006C48A3">
      <w:pPr>
        <w:pStyle w:val="Default"/>
        <w:rPr>
          <w:rFonts w:asciiTheme="majorHAnsi" w:hAnsiTheme="majorHAnsi"/>
          <w:bCs/>
          <w:sz w:val="20"/>
          <w:szCs w:val="20"/>
        </w:rPr>
      </w:pPr>
      <w:r w:rsidRPr="0064289B">
        <w:rPr>
          <w:rFonts w:asciiTheme="majorHAnsi" w:hAnsiTheme="majorHAnsi"/>
          <w:sz w:val="20"/>
          <w:szCs w:val="20"/>
        </w:rPr>
        <w:t>Aerosol potential is low as the spray heads are within 1 foot of ground level limiting elevated spray and formation of aerosols.  The spray heads emit coarse droplets.   The spray area, as previously mentioned in the September 12, 2020 transmittal letter</w:t>
      </w:r>
      <w:r>
        <w:rPr>
          <w:rFonts w:asciiTheme="majorHAnsi" w:hAnsiTheme="majorHAnsi"/>
          <w:sz w:val="20"/>
          <w:szCs w:val="20"/>
        </w:rPr>
        <w:t>,</w:t>
      </w:r>
      <w:r w:rsidRPr="0064289B">
        <w:rPr>
          <w:rFonts w:asciiTheme="majorHAnsi" w:hAnsiTheme="majorHAnsi"/>
          <w:sz w:val="20"/>
          <w:szCs w:val="20"/>
        </w:rPr>
        <w:t xml:space="preserve"> </w:t>
      </w:r>
      <w:r w:rsidRPr="0064289B">
        <w:rPr>
          <w:rFonts w:asciiTheme="majorHAnsi" w:hAnsiTheme="majorHAnsi"/>
          <w:bCs/>
          <w:sz w:val="20"/>
          <w:szCs w:val="20"/>
        </w:rPr>
        <w:t>consists of deciduous trees, hardwoods, grasses and various underbrush’s that also block</w:t>
      </w:r>
      <w:r>
        <w:rPr>
          <w:rFonts w:asciiTheme="majorHAnsi" w:hAnsiTheme="majorHAnsi"/>
          <w:bCs/>
          <w:sz w:val="20"/>
          <w:szCs w:val="20"/>
        </w:rPr>
        <w:t xml:space="preserve"> any potential</w:t>
      </w:r>
      <w:r w:rsidRPr="0064289B">
        <w:rPr>
          <w:rFonts w:asciiTheme="majorHAnsi" w:hAnsiTheme="majorHAnsi"/>
          <w:bCs/>
          <w:sz w:val="20"/>
          <w:szCs w:val="20"/>
        </w:rPr>
        <w:t xml:space="preserve"> aerosol migration.  The flora provides a significant transpiration of water.  Spray heads are directed away from the property lines to contain spray within the proposed boundaries. </w:t>
      </w:r>
    </w:p>
    <w:p w:rsidR="006C48A3" w:rsidRPr="0064289B" w:rsidRDefault="006C48A3" w:rsidP="006C48A3">
      <w:pPr>
        <w:pStyle w:val="Default"/>
        <w:rPr>
          <w:rFonts w:asciiTheme="majorHAnsi" w:hAnsiTheme="majorHAnsi"/>
          <w:bCs/>
          <w:sz w:val="20"/>
          <w:szCs w:val="20"/>
        </w:rPr>
      </w:pPr>
      <w:r w:rsidRPr="0064289B">
        <w:rPr>
          <w:rFonts w:asciiTheme="majorHAnsi" w:hAnsiTheme="majorHAnsi"/>
          <w:bCs/>
          <w:sz w:val="20"/>
          <w:szCs w:val="20"/>
        </w:rPr>
        <w:t>There is no appreciable effect of aerosols on surrounding properties as the volume of spray water (1995 gallons per day) is a minimal amount</w:t>
      </w:r>
      <w:r>
        <w:rPr>
          <w:rFonts w:asciiTheme="majorHAnsi" w:hAnsiTheme="majorHAnsi"/>
          <w:bCs/>
          <w:sz w:val="20"/>
          <w:szCs w:val="20"/>
        </w:rPr>
        <w:t>.</w:t>
      </w:r>
      <w:r w:rsidRPr="0064289B">
        <w:rPr>
          <w:rFonts w:asciiTheme="majorHAnsi" w:hAnsiTheme="majorHAnsi"/>
          <w:bCs/>
          <w:sz w:val="20"/>
          <w:szCs w:val="20"/>
        </w:rPr>
        <w:t xml:space="preserve">   </w:t>
      </w:r>
    </w:p>
    <w:p w:rsidR="006C48A3" w:rsidRPr="0064289B" w:rsidRDefault="006C48A3" w:rsidP="006C48A3">
      <w:pPr>
        <w:pStyle w:val="Default"/>
        <w:rPr>
          <w:rFonts w:asciiTheme="majorHAnsi" w:hAnsiTheme="majorHAnsi"/>
          <w:sz w:val="20"/>
          <w:szCs w:val="20"/>
        </w:rPr>
      </w:pPr>
    </w:p>
    <w:p w:rsidR="006C48A3" w:rsidRPr="0064289B" w:rsidRDefault="006C48A3" w:rsidP="006C48A3">
      <w:pPr>
        <w:pStyle w:val="Default"/>
        <w:rPr>
          <w:rFonts w:asciiTheme="majorHAnsi" w:hAnsiTheme="majorHAnsi"/>
          <w:sz w:val="20"/>
          <w:szCs w:val="20"/>
        </w:rPr>
      </w:pPr>
      <w:r w:rsidRPr="0064289B">
        <w:rPr>
          <w:rFonts w:asciiTheme="majorHAnsi" w:hAnsiTheme="majorHAnsi"/>
          <w:sz w:val="20"/>
          <w:szCs w:val="20"/>
        </w:rPr>
        <w:t xml:space="preserve"> </w:t>
      </w:r>
    </w:p>
    <w:p w:rsidR="006C48A3" w:rsidRPr="0064289B" w:rsidRDefault="006C48A3" w:rsidP="006C48A3">
      <w:pPr>
        <w:pStyle w:val="Default"/>
        <w:rPr>
          <w:rFonts w:asciiTheme="majorHAnsi" w:hAnsiTheme="majorHAnsi"/>
          <w:i/>
          <w:sz w:val="20"/>
          <w:szCs w:val="20"/>
        </w:rPr>
      </w:pPr>
      <w:proofErr w:type="gramStart"/>
      <w:r w:rsidRPr="0064289B">
        <w:rPr>
          <w:rFonts w:asciiTheme="majorHAnsi" w:hAnsiTheme="majorHAnsi"/>
          <w:i/>
          <w:sz w:val="20"/>
          <w:szCs w:val="20"/>
        </w:rPr>
        <w:t>6  Please</w:t>
      </w:r>
      <w:proofErr w:type="gramEnd"/>
      <w:r w:rsidRPr="0064289B">
        <w:rPr>
          <w:rFonts w:asciiTheme="majorHAnsi" w:hAnsiTheme="majorHAnsi"/>
          <w:i/>
          <w:sz w:val="20"/>
          <w:szCs w:val="20"/>
        </w:rPr>
        <w:t xml:space="preserve"> revise plans to include a 6 ft, non-climbable fence around the spray irrigation system. </w:t>
      </w:r>
    </w:p>
    <w:p w:rsidR="006C48A3" w:rsidRPr="0064289B" w:rsidRDefault="006C48A3" w:rsidP="006C48A3">
      <w:pPr>
        <w:pStyle w:val="Default"/>
        <w:rPr>
          <w:rFonts w:asciiTheme="majorHAnsi" w:hAnsiTheme="majorHAnsi"/>
          <w:sz w:val="20"/>
          <w:szCs w:val="20"/>
        </w:rPr>
      </w:pPr>
    </w:p>
    <w:p w:rsidR="006C48A3" w:rsidRDefault="006C48A3" w:rsidP="006C48A3">
      <w:pPr>
        <w:pStyle w:val="Default"/>
        <w:rPr>
          <w:rFonts w:asciiTheme="majorHAnsi" w:hAnsiTheme="majorHAnsi"/>
          <w:sz w:val="20"/>
          <w:szCs w:val="20"/>
        </w:rPr>
      </w:pPr>
      <w:r w:rsidRPr="0064289B">
        <w:rPr>
          <w:rFonts w:asciiTheme="majorHAnsi" w:hAnsiTheme="majorHAnsi"/>
          <w:sz w:val="20"/>
          <w:szCs w:val="20"/>
        </w:rPr>
        <w:t>A six foot non-climbable shall be provided at the property boundaries.</w:t>
      </w:r>
    </w:p>
    <w:p w:rsidR="006C48A3" w:rsidRDefault="006C48A3" w:rsidP="006C48A3">
      <w:pPr>
        <w:pStyle w:val="Default"/>
        <w:rPr>
          <w:rFonts w:asciiTheme="majorHAnsi" w:hAnsiTheme="majorHAnsi"/>
          <w:sz w:val="20"/>
          <w:szCs w:val="20"/>
        </w:rPr>
      </w:pPr>
    </w:p>
    <w:p w:rsidR="006C48A3" w:rsidRDefault="006C48A3" w:rsidP="006C48A3">
      <w:pPr>
        <w:pStyle w:val="Default"/>
        <w:rPr>
          <w:rFonts w:asciiTheme="majorHAnsi" w:hAnsiTheme="majorHAnsi"/>
          <w:sz w:val="20"/>
          <w:szCs w:val="20"/>
        </w:rPr>
      </w:pPr>
    </w:p>
    <w:p w:rsidR="006C48A3" w:rsidRPr="00DB7336" w:rsidRDefault="006C48A3" w:rsidP="006C48A3">
      <w:pPr>
        <w:pStyle w:val="Default"/>
        <w:rPr>
          <w:rFonts w:asciiTheme="majorHAnsi" w:hAnsiTheme="majorHAnsi"/>
          <w:sz w:val="20"/>
          <w:szCs w:val="20"/>
        </w:rPr>
      </w:pPr>
      <w:r w:rsidRPr="00DB7336">
        <w:rPr>
          <w:rFonts w:asciiTheme="majorHAnsi" w:hAnsiTheme="majorHAnsi"/>
          <w:sz w:val="20"/>
          <w:szCs w:val="20"/>
        </w:rPr>
        <w:t xml:space="preserve">The new </w:t>
      </w:r>
      <w:proofErr w:type="spellStart"/>
      <w:r w:rsidRPr="00DB7336">
        <w:rPr>
          <w:rFonts w:asciiTheme="majorHAnsi" w:hAnsiTheme="majorHAnsi"/>
          <w:sz w:val="20"/>
          <w:szCs w:val="20"/>
        </w:rPr>
        <w:t>Habaneros</w:t>
      </w:r>
      <w:proofErr w:type="spellEnd"/>
      <w:r w:rsidRPr="00DB7336">
        <w:rPr>
          <w:rFonts w:asciiTheme="majorHAnsi" w:hAnsiTheme="majorHAnsi"/>
          <w:sz w:val="20"/>
          <w:szCs w:val="20"/>
        </w:rPr>
        <w:t xml:space="preserve"> Mexican Restaurant </w:t>
      </w:r>
      <w:r>
        <w:rPr>
          <w:rFonts w:asciiTheme="majorHAnsi" w:hAnsiTheme="majorHAnsi"/>
          <w:sz w:val="20"/>
          <w:szCs w:val="20"/>
        </w:rPr>
        <w:t>requires this addition to remain in compliance</w:t>
      </w:r>
      <w:r w:rsidRPr="00DB7336">
        <w:rPr>
          <w:rFonts w:asciiTheme="majorHAnsi" w:hAnsiTheme="majorHAnsi"/>
          <w:sz w:val="20"/>
          <w:szCs w:val="20"/>
        </w:rPr>
        <w:t>.  The restaurant shall seat 57 patrons (maximum).  At 35 gallons per day (according to LSSC Title 51, Part XIII, Appendix B) the total maximum flow would be 1995 gallons per day.</w:t>
      </w:r>
    </w:p>
    <w:p w:rsidR="006C48A3" w:rsidRPr="00DB7336" w:rsidRDefault="006C48A3" w:rsidP="006C48A3">
      <w:pPr>
        <w:pStyle w:val="Default"/>
        <w:rPr>
          <w:rFonts w:asciiTheme="majorHAnsi" w:hAnsiTheme="majorHAnsi"/>
          <w:sz w:val="20"/>
          <w:szCs w:val="20"/>
        </w:rPr>
      </w:pPr>
    </w:p>
    <w:p w:rsidR="006C48A3" w:rsidRPr="00DB7336" w:rsidRDefault="006C48A3" w:rsidP="006C48A3">
      <w:pPr>
        <w:pStyle w:val="Default"/>
        <w:numPr>
          <w:ilvl w:val="0"/>
          <w:numId w:val="10"/>
        </w:numPr>
        <w:rPr>
          <w:rFonts w:asciiTheme="majorHAnsi" w:hAnsiTheme="majorHAnsi"/>
          <w:sz w:val="20"/>
          <w:szCs w:val="20"/>
        </w:rPr>
      </w:pPr>
      <w:r w:rsidRPr="00DB7336">
        <w:rPr>
          <w:rFonts w:asciiTheme="majorHAnsi" w:hAnsiTheme="majorHAnsi"/>
          <w:sz w:val="20"/>
          <w:szCs w:val="20"/>
        </w:rPr>
        <w:t>The daily maximum effluent flow rate is 2.77 GPM (based on a 12 hour operating basis).</w:t>
      </w:r>
    </w:p>
    <w:p w:rsidR="006C48A3" w:rsidRPr="00DB7336" w:rsidRDefault="006C48A3" w:rsidP="006C48A3">
      <w:pPr>
        <w:pStyle w:val="Default"/>
        <w:numPr>
          <w:ilvl w:val="0"/>
          <w:numId w:val="10"/>
        </w:numPr>
        <w:rPr>
          <w:rFonts w:asciiTheme="majorHAnsi" w:hAnsiTheme="majorHAnsi"/>
          <w:sz w:val="20"/>
          <w:szCs w:val="20"/>
        </w:rPr>
      </w:pPr>
      <w:r w:rsidRPr="00DB7336">
        <w:rPr>
          <w:rFonts w:asciiTheme="majorHAnsi" w:hAnsiTheme="majorHAnsi"/>
          <w:sz w:val="20"/>
          <w:szCs w:val="20"/>
        </w:rPr>
        <w:t xml:space="preserve">The spray field will be +/-  20,096 square feet  (40’ Radius per spray head)   </w:t>
      </w:r>
    </w:p>
    <w:p w:rsidR="006C48A3" w:rsidRPr="00DB7336" w:rsidRDefault="006C48A3" w:rsidP="006C48A3">
      <w:pPr>
        <w:pStyle w:val="Default"/>
        <w:numPr>
          <w:ilvl w:val="0"/>
          <w:numId w:val="10"/>
        </w:numPr>
        <w:rPr>
          <w:rFonts w:asciiTheme="majorHAnsi" w:hAnsiTheme="majorHAnsi"/>
          <w:sz w:val="20"/>
          <w:szCs w:val="20"/>
        </w:rPr>
      </w:pPr>
      <w:r w:rsidRPr="00DB7336">
        <w:rPr>
          <w:rFonts w:asciiTheme="majorHAnsi" w:hAnsiTheme="majorHAnsi"/>
          <w:sz w:val="20"/>
          <w:szCs w:val="20"/>
        </w:rPr>
        <w:t xml:space="preserve">Spray field shall utilize 5 K–Rain spray Heads. </w:t>
      </w:r>
    </w:p>
    <w:p w:rsidR="006C48A3" w:rsidRPr="00DB7336" w:rsidRDefault="006C48A3" w:rsidP="006C48A3">
      <w:pPr>
        <w:pStyle w:val="Default"/>
        <w:numPr>
          <w:ilvl w:val="0"/>
          <w:numId w:val="10"/>
        </w:numPr>
        <w:rPr>
          <w:rFonts w:asciiTheme="majorHAnsi" w:hAnsiTheme="majorHAnsi"/>
          <w:sz w:val="20"/>
          <w:szCs w:val="20"/>
        </w:rPr>
      </w:pPr>
      <w:r w:rsidRPr="00DB7336">
        <w:rPr>
          <w:rFonts w:asciiTheme="majorHAnsi" w:hAnsiTheme="majorHAnsi"/>
          <w:sz w:val="20"/>
          <w:szCs w:val="20"/>
        </w:rPr>
        <w:t>The Holding Basin shall be 100</w:t>
      </w:r>
      <w:r>
        <w:rPr>
          <w:rFonts w:asciiTheme="majorHAnsi" w:hAnsiTheme="majorHAnsi"/>
          <w:sz w:val="20"/>
          <w:szCs w:val="20"/>
        </w:rPr>
        <w:t>+</w:t>
      </w:r>
      <w:r w:rsidRPr="00DB7336">
        <w:rPr>
          <w:rFonts w:asciiTheme="majorHAnsi" w:hAnsiTheme="majorHAnsi"/>
          <w:sz w:val="20"/>
          <w:szCs w:val="20"/>
        </w:rPr>
        <w:t xml:space="preserve"> gallons (minimum). (Downstream from the chlorine contact chamber).</w:t>
      </w:r>
    </w:p>
    <w:p w:rsidR="006C48A3" w:rsidRPr="00DB7336" w:rsidRDefault="006C48A3" w:rsidP="006C48A3">
      <w:pPr>
        <w:pStyle w:val="Default"/>
        <w:numPr>
          <w:ilvl w:val="0"/>
          <w:numId w:val="10"/>
        </w:numPr>
        <w:rPr>
          <w:rFonts w:asciiTheme="majorHAnsi" w:hAnsiTheme="majorHAnsi"/>
          <w:sz w:val="20"/>
          <w:szCs w:val="20"/>
        </w:rPr>
      </w:pPr>
      <w:r w:rsidRPr="00DB7336">
        <w:rPr>
          <w:rFonts w:asciiTheme="majorHAnsi" w:hAnsiTheme="majorHAnsi"/>
          <w:sz w:val="20"/>
          <w:szCs w:val="20"/>
        </w:rPr>
        <w:t>The Holding Basin Retention Time will be +/- 25 minutes at maximum usage.</w:t>
      </w:r>
    </w:p>
    <w:p w:rsidR="006C48A3" w:rsidRPr="00DB7336" w:rsidRDefault="006C48A3" w:rsidP="006C48A3">
      <w:pPr>
        <w:pStyle w:val="Default"/>
        <w:numPr>
          <w:ilvl w:val="0"/>
          <w:numId w:val="10"/>
        </w:numPr>
        <w:rPr>
          <w:rFonts w:asciiTheme="majorHAnsi" w:hAnsiTheme="majorHAnsi"/>
          <w:sz w:val="20"/>
          <w:szCs w:val="20"/>
        </w:rPr>
      </w:pPr>
      <w:r w:rsidRPr="00DB7336">
        <w:rPr>
          <w:rFonts w:asciiTheme="majorHAnsi" w:hAnsiTheme="majorHAnsi"/>
          <w:sz w:val="20"/>
          <w:szCs w:val="20"/>
        </w:rPr>
        <w:t xml:space="preserve">There is a 100’ buffer on 2 sides of the property, owned by </w:t>
      </w:r>
      <w:proofErr w:type="spellStart"/>
      <w:r w:rsidRPr="00DB7336">
        <w:rPr>
          <w:rFonts w:asciiTheme="majorHAnsi" w:hAnsiTheme="majorHAnsi"/>
          <w:sz w:val="20"/>
          <w:szCs w:val="20"/>
        </w:rPr>
        <w:t>Habaneros</w:t>
      </w:r>
      <w:proofErr w:type="spellEnd"/>
      <w:r w:rsidRPr="00DB7336">
        <w:rPr>
          <w:rFonts w:asciiTheme="majorHAnsi" w:hAnsiTheme="majorHAnsi"/>
          <w:sz w:val="20"/>
          <w:szCs w:val="20"/>
        </w:rPr>
        <w:t xml:space="preserve">, and adequate room for the proposed spray field. </w:t>
      </w:r>
    </w:p>
    <w:p w:rsidR="006C48A3" w:rsidRPr="00DB7336" w:rsidRDefault="006C48A3" w:rsidP="006C48A3">
      <w:pPr>
        <w:pStyle w:val="Default"/>
        <w:numPr>
          <w:ilvl w:val="0"/>
          <w:numId w:val="10"/>
        </w:numPr>
        <w:rPr>
          <w:rFonts w:asciiTheme="majorHAnsi" w:hAnsiTheme="majorHAnsi"/>
          <w:sz w:val="20"/>
          <w:szCs w:val="20"/>
        </w:rPr>
      </w:pPr>
      <w:r w:rsidRPr="00DB7336">
        <w:rPr>
          <w:rFonts w:asciiTheme="majorHAnsi" w:hAnsiTheme="majorHAnsi"/>
          <w:sz w:val="20"/>
          <w:szCs w:val="20"/>
        </w:rPr>
        <w:t>There is additional room for supplementary spray field area if necessary.</w:t>
      </w:r>
    </w:p>
    <w:p w:rsidR="006C48A3" w:rsidRPr="00DB7336" w:rsidRDefault="006C48A3" w:rsidP="006C48A3">
      <w:pPr>
        <w:pStyle w:val="Default"/>
        <w:numPr>
          <w:ilvl w:val="0"/>
          <w:numId w:val="10"/>
        </w:numPr>
        <w:rPr>
          <w:rFonts w:asciiTheme="majorHAnsi" w:hAnsiTheme="majorHAnsi"/>
          <w:sz w:val="20"/>
          <w:szCs w:val="20"/>
        </w:rPr>
      </w:pPr>
      <w:r w:rsidRPr="00DB7336">
        <w:rPr>
          <w:rFonts w:asciiTheme="majorHAnsi" w:hAnsiTheme="majorHAnsi"/>
          <w:sz w:val="20"/>
          <w:szCs w:val="20"/>
        </w:rPr>
        <w:t>There shall be a 10’ buffer on all sides of the spray field.</w:t>
      </w:r>
    </w:p>
    <w:p w:rsidR="006C48A3" w:rsidRPr="00DB7336" w:rsidRDefault="006C48A3" w:rsidP="006C48A3">
      <w:pPr>
        <w:pStyle w:val="Default"/>
        <w:rPr>
          <w:rFonts w:asciiTheme="majorHAnsi" w:hAnsiTheme="majorHAnsi"/>
          <w:sz w:val="20"/>
          <w:szCs w:val="20"/>
        </w:rPr>
      </w:pPr>
    </w:p>
    <w:p w:rsidR="006C48A3" w:rsidRDefault="006C48A3" w:rsidP="006C48A3">
      <w:pPr>
        <w:pStyle w:val="Default"/>
        <w:rPr>
          <w:rFonts w:asciiTheme="majorHAnsi" w:hAnsiTheme="majorHAnsi"/>
          <w:sz w:val="20"/>
          <w:szCs w:val="20"/>
        </w:rPr>
      </w:pPr>
      <w:r>
        <w:rPr>
          <w:rFonts w:asciiTheme="majorHAnsi" w:hAnsiTheme="majorHAnsi"/>
          <w:sz w:val="20"/>
          <w:szCs w:val="20"/>
        </w:rPr>
        <w:t>Additional Documentation</w:t>
      </w:r>
      <w:r w:rsidRPr="00DB7336">
        <w:rPr>
          <w:rFonts w:asciiTheme="majorHAnsi" w:hAnsiTheme="majorHAnsi"/>
          <w:sz w:val="20"/>
          <w:szCs w:val="20"/>
        </w:rPr>
        <w:t>:</w:t>
      </w:r>
    </w:p>
    <w:p w:rsidR="006C48A3" w:rsidRPr="00DB7336" w:rsidRDefault="006C48A3" w:rsidP="006C48A3">
      <w:pPr>
        <w:pStyle w:val="Default"/>
        <w:rPr>
          <w:rFonts w:asciiTheme="majorHAnsi" w:hAnsiTheme="majorHAnsi"/>
          <w:sz w:val="20"/>
          <w:szCs w:val="20"/>
        </w:rPr>
      </w:pPr>
    </w:p>
    <w:p w:rsidR="006C48A3" w:rsidRPr="00DB7336" w:rsidRDefault="006C48A3" w:rsidP="006C48A3">
      <w:pPr>
        <w:pStyle w:val="Default"/>
        <w:numPr>
          <w:ilvl w:val="0"/>
          <w:numId w:val="9"/>
        </w:numPr>
        <w:rPr>
          <w:rFonts w:asciiTheme="majorHAnsi" w:hAnsiTheme="majorHAnsi"/>
          <w:sz w:val="20"/>
          <w:szCs w:val="20"/>
        </w:rPr>
      </w:pPr>
      <w:r w:rsidRPr="00DB7336">
        <w:rPr>
          <w:rFonts w:asciiTheme="majorHAnsi" w:hAnsiTheme="majorHAnsi"/>
          <w:sz w:val="20"/>
          <w:szCs w:val="20"/>
        </w:rPr>
        <w:t>LDH Permit P20-09-103-117, April 21, 2020 for Water and Sewerage System</w:t>
      </w:r>
    </w:p>
    <w:p w:rsidR="006C48A3" w:rsidRPr="00DB7336" w:rsidRDefault="006C48A3" w:rsidP="006C48A3">
      <w:pPr>
        <w:pStyle w:val="Default"/>
        <w:numPr>
          <w:ilvl w:val="0"/>
          <w:numId w:val="9"/>
        </w:numPr>
        <w:rPr>
          <w:rFonts w:asciiTheme="majorHAnsi" w:hAnsiTheme="majorHAnsi"/>
          <w:sz w:val="20"/>
          <w:szCs w:val="20"/>
        </w:rPr>
      </w:pPr>
      <w:r>
        <w:rPr>
          <w:rFonts w:asciiTheme="majorHAnsi" w:hAnsiTheme="majorHAnsi"/>
          <w:sz w:val="20"/>
          <w:szCs w:val="20"/>
        </w:rPr>
        <w:t xml:space="preserve">Modified </w:t>
      </w:r>
      <w:r w:rsidRPr="00DB7336">
        <w:rPr>
          <w:rFonts w:asciiTheme="majorHAnsi" w:hAnsiTheme="majorHAnsi"/>
          <w:sz w:val="20"/>
          <w:szCs w:val="20"/>
        </w:rPr>
        <w:t>Plan Sheet Diagram Layout of Restaurant, Spray Field Area and Buffer Area</w:t>
      </w:r>
    </w:p>
    <w:p w:rsidR="006C48A3" w:rsidRPr="00DB7336" w:rsidRDefault="006C48A3" w:rsidP="006C48A3">
      <w:pPr>
        <w:pStyle w:val="Default"/>
        <w:numPr>
          <w:ilvl w:val="0"/>
          <w:numId w:val="9"/>
        </w:numPr>
        <w:rPr>
          <w:rFonts w:asciiTheme="majorHAnsi" w:hAnsiTheme="majorHAnsi"/>
          <w:sz w:val="20"/>
          <w:szCs w:val="20"/>
        </w:rPr>
      </w:pPr>
      <w:r w:rsidRPr="00DB7336">
        <w:rPr>
          <w:rFonts w:asciiTheme="majorHAnsi" w:hAnsiTheme="majorHAnsi"/>
          <w:sz w:val="20"/>
          <w:szCs w:val="20"/>
        </w:rPr>
        <w:t>Specification Sheet for Irrigation Pump, Item #558223 Model #WE20G05P4-21</w:t>
      </w:r>
    </w:p>
    <w:p w:rsidR="006C48A3" w:rsidRPr="00DB7336" w:rsidRDefault="006C48A3" w:rsidP="006C48A3">
      <w:pPr>
        <w:pStyle w:val="Default"/>
        <w:numPr>
          <w:ilvl w:val="0"/>
          <w:numId w:val="9"/>
        </w:numPr>
        <w:rPr>
          <w:rFonts w:asciiTheme="majorHAnsi" w:hAnsiTheme="majorHAnsi"/>
          <w:bCs/>
          <w:sz w:val="20"/>
          <w:szCs w:val="20"/>
        </w:rPr>
      </w:pPr>
      <w:r w:rsidRPr="00DB7336">
        <w:rPr>
          <w:rFonts w:asciiTheme="majorHAnsi" w:hAnsiTheme="majorHAnsi"/>
          <w:sz w:val="20"/>
          <w:szCs w:val="20"/>
        </w:rPr>
        <w:t xml:space="preserve">Specification Sheet for Spray Heads, </w:t>
      </w:r>
      <w:proofErr w:type="spellStart"/>
      <w:r w:rsidRPr="00DB7336">
        <w:rPr>
          <w:rFonts w:asciiTheme="majorHAnsi" w:hAnsiTheme="majorHAnsi"/>
          <w:sz w:val="20"/>
          <w:szCs w:val="20"/>
        </w:rPr>
        <w:t>Pro</w:t>
      </w:r>
      <w:r w:rsidRPr="00DB7336">
        <w:rPr>
          <w:rFonts w:asciiTheme="majorHAnsi" w:hAnsiTheme="majorHAnsi"/>
          <w:iCs/>
          <w:sz w:val="20"/>
          <w:szCs w:val="20"/>
        </w:rPr>
        <w:t>Plus</w:t>
      </w:r>
      <w:proofErr w:type="spellEnd"/>
      <w:r w:rsidRPr="00DB7336">
        <w:rPr>
          <w:rFonts w:asciiTheme="majorHAnsi" w:hAnsiTheme="majorHAnsi"/>
          <w:iCs/>
          <w:sz w:val="20"/>
          <w:szCs w:val="20"/>
        </w:rPr>
        <w:t xml:space="preserve"> Model #</w:t>
      </w:r>
      <w:r w:rsidRPr="00DB7336">
        <w:rPr>
          <w:rFonts w:asciiTheme="majorHAnsi" w:hAnsiTheme="majorHAnsi"/>
          <w:bCs/>
          <w:sz w:val="20"/>
          <w:szCs w:val="20"/>
        </w:rPr>
        <w:t>11003-CV, Spray Head #2.5</w:t>
      </w:r>
    </w:p>
    <w:p w:rsidR="006C48A3" w:rsidRPr="00DB7336" w:rsidRDefault="006C48A3" w:rsidP="006C48A3">
      <w:pPr>
        <w:pStyle w:val="Default"/>
        <w:numPr>
          <w:ilvl w:val="0"/>
          <w:numId w:val="9"/>
        </w:numPr>
        <w:rPr>
          <w:rFonts w:asciiTheme="majorHAnsi" w:hAnsiTheme="majorHAnsi"/>
          <w:bCs/>
          <w:sz w:val="20"/>
          <w:szCs w:val="20"/>
        </w:rPr>
      </w:pPr>
      <w:r w:rsidRPr="00DB7336">
        <w:rPr>
          <w:rFonts w:asciiTheme="majorHAnsi" w:hAnsiTheme="majorHAnsi"/>
          <w:bCs/>
          <w:sz w:val="20"/>
          <w:szCs w:val="20"/>
        </w:rPr>
        <w:t>USDA Infiltration Rate Sheet</w:t>
      </w:r>
    </w:p>
    <w:p w:rsidR="006C48A3" w:rsidRPr="00DB7336" w:rsidRDefault="006C48A3" w:rsidP="006C48A3">
      <w:pPr>
        <w:pStyle w:val="Default"/>
        <w:numPr>
          <w:ilvl w:val="0"/>
          <w:numId w:val="9"/>
        </w:numPr>
        <w:rPr>
          <w:rFonts w:asciiTheme="majorHAnsi" w:hAnsiTheme="majorHAnsi"/>
          <w:bCs/>
          <w:sz w:val="20"/>
          <w:szCs w:val="20"/>
        </w:rPr>
      </w:pPr>
      <w:r w:rsidRPr="00DB7336">
        <w:rPr>
          <w:rFonts w:asciiTheme="majorHAnsi" w:hAnsiTheme="majorHAnsi"/>
          <w:bCs/>
          <w:sz w:val="20"/>
          <w:szCs w:val="20"/>
        </w:rPr>
        <w:t>Soil Type Map and Legend</w:t>
      </w:r>
    </w:p>
    <w:p w:rsidR="006C48A3" w:rsidRPr="00DB7336" w:rsidRDefault="006C48A3" w:rsidP="006C48A3">
      <w:pPr>
        <w:pStyle w:val="Default"/>
        <w:numPr>
          <w:ilvl w:val="0"/>
          <w:numId w:val="9"/>
        </w:numPr>
        <w:rPr>
          <w:rFonts w:asciiTheme="majorHAnsi" w:hAnsiTheme="majorHAnsi"/>
          <w:bCs/>
          <w:sz w:val="20"/>
          <w:szCs w:val="20"/>
        </w:rPr>
      </w:pPr>
      <w:r w:rsidRPr="00DB7336">
        <w:rPr>
          <w:rFonts w:asciiTheme="majorHAnsi" w:hAnsiTheme="majorHAnsi"/>
          <w:bCs/>
          <w:sz w:val="20"/>
          <w:szCs w:val="20"/>
        </w:rPr>
        <w:t>Letter of January 5, 2021 from the DEQ</w:t>
      </w:r>
    </w:p>
    <w:p w:rsidR="006C48A3" w:rsidRPr="00DB7336"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r>
        <w:rPr>
          <w:rFonts w:asciiTheme="majorHAnsi" w:hAnsiTheme="majorHAnsi"/>
          <w:bCs/>
          <w:sz w:val="20"/>
          <w:szCs w:val="20"/>
        </w:rPr>
        <w:lastRenderedPageBreak/>
        <w:t>01-11-2021</w:t>
      </w:r>
    </w:p>
    <w:p w:rsidR="006C48A3" w:rsidRDefault="006C48A3" w:rsidP="006C48A3">
      <w:pPr>
        <w:pStyle w:val="Default"/>
        <w:rPr>
          <w:rFonts w:asciiTheme="majorHAnsi" w:hAnsiTheme="majorHAnsi"/>
          <w:bCs/>
          <w:sz w:val="20"/>
          <w:szCs w:val="20"/>
        </w:rPr>
      </w:pPr>
      <w:r>
        <w:rPr>
          <w:rFonts w:asciiTheme="majorHAnsi" w:hAnsiTheme="majorHAnsi"/>
          <w:bCs/>
          <w:sz w:val="20"/>
          <w:szCs w:val="20"/>
        </w:rPr>
        <w:t>Page 3</w:t>
      </w: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p>
    <w:p w:rsidR="006C48A3" w:rsidRPr="00DB7336" w:rsidRDefault="006C48A3" w:rsidP="006C48A3">
      <w:pPr>
        <w:pStyle w:val="Default"/>
        <w:rPr>
          <w:rFonts w:asciiTheme="majorHAnsi" w:hAnsiTheme="majorHAnsi"/>
          <w:bCs/>
          <w:sz w:val="20"/>
          <w:szCs w:val="20"/>
        </w:rPr>
      </w:pPr>
      <w:r w:rsidRPr="00DB7336">
        <w:rPr>
          <w:rFonts w:asciiTheme="majorHAnsi" w:hAnsiTheme="majorHAnsi"/>
          <w:bCs/>
          <w:sz w:val="20"/>
          <w:szCs w:val="20"/>
        </w:rPr>
        <w:t xml:space="preserve">The outfall from the Treatment Process shall be routed to a holding basin.  From there the effluent shall be pumped thru a 1-1/2 SDR PVC line to the spray irrigation area.  Spray heads shall be anchored by concrete supports.  After installation, DEQ shall be notified so that the current permit can be modified to a Zero discharge system. </w:t>
      </w:r>
    </w:p>
    <w:p w:rsidR="006C48A3" w:rsidRPr="00DB7336" w:rsidRDefault="006C48A3" w:rsidP="006C48A3">
      <w:pPr>
        <w:pStyle w:val="Default"/>
        <w:rPr>
          <w:rFonts w:asciiTheme="majorHAnsi" w:hAnsiTheme="majorHAnsi"/>
          <w:bCs/>
          <w:sz w:val="20"/>
          <w:szCs w:val="20"/>
        </w:rPr>
      </w:pPr>
    </w:p>
    <w:p w:rsidR="006C48A3" w:rsidRPr="00DB7336" w:rsidRDefault="006C48A3" w:rsidP="006C48A3">
      <w:pPr>
        <w:pStyle w:val="Default"/>
        <w:rPr>
          <w:rFonts w:asciiTheme="majorHAnsi" w:hAnsiTheme="majorHAnsi"/>
          <w:bCs/>
          <w:sz w:val="20"/>
          <w:szCs w:val="20"/>
        </w:rPr>
      </w:pPr>
      <w:r w:rsidRPr="00DB7336">
        <w:rPr>
          <w:rFonts w:asciiTheme="majorHAnsi" w:hAnsiTheme="majorHAnsi"/>
          <w:bCs/>
          <w:sz w:val="20"/>
          <w:szCs w:val="20"/>
        </w:rPr>
        <w:t xml:space="preserve">The extended aeration plant is expected to treat wastewater to 15 mg/l BOD and 15 mg/l TSS and 15 mg/l ammonia.  The spray field of 20,096 </w:t>
      </w:r>
      <w:proofErr w:type="spellStart"/>
      <w:r w:rsidRPr="00DB7336">
        <w:rPr>
          <w:rFonts w:asciiTheme="majorHAnsi" w:hAnsiTheme="majorHAnsi"/>
          <w:bCs/>
          <w:sz w:val="20"/>
          <w:szCs w:val="20"/>
        </w:rPr>
        <w:t>sqft</w:t>
      </w:r>
      <w:proofErr w:type="spellEnd"/>
      <w:r w:rsidRPr="00DB7336">
        <w:rPr>
          <w:rFonts w:asciiTheme="majorHAnsi" w:hAnsiTheme="majorHAnsi"/>
          <w:bCs/>
          <w:sz w:val="20"/>
          <w:szCs w:val="20"/>
        </w:rPr>
        <w:t xml:space="preserve"> can adequately disperse the 0.404 cm per day wastewater thru evaporation, transpiration, and absorption.  Due to the minor hydraulic application, no runoff is expected.  </w:t>
      </w:r>
    </w:p>
    <w:p w:rsidR="006C48A3" w:rsidRPr="0064289B" w:rsidRDefault="006C48A3" w:rsidP="006C48A3">
      <w:pPr>
        <w:pStyle w:val="Default"/>
        <w:rPr>
          <w:rFonts w:asciiTheme="majorHAnsi" w:hAnsiTheme="majorHAnsi"/>
          <w:bCs/>
          <w:sz w:val="20"/>
          <w:szCs w:val="20"/>
        </w:rPr>
      </w:pPr>
    </w:p>
    <w:p w:rsidR="006C48A3" w:rsidRPr="0064289B" w:rsidRDefault="006C48A3" w:rsidP="006C48A3">
      <w:pPr>
        <w:pStyle w:val="Default"/>
        <w:rPr>
          <w:rFonts w:asciiTheme="majorHAnsi" w:hAnsiTheme="majorHAnsi"/>
          <w:bCs/>
          <w:sz w:val="20"/>
          <w:szCs w:val="20"/>
        </w:rPr>
      </w:pPr>
      <w:r w:rsidRPr="0064289B">
        <w:rPr>
          <w:rFonts w:asciiTheme="majorHAnsi" w:hAnsiTheme="majorHAnsi"/>
          <w:bCs/>
          <w:sz w:val="20"/>
          <w:szCs w:val="20"/>
        </w:rPr>
        <w:t xml:space="preserve">In conclusion, this spray field area is more than adequate to successfully mitigate this minor amount of water (equivalent to a </w:t>
      </w:r>
      <w:proofErr w:type="spellStart"/>
      <w:r w:rsidRPr="0064289B">
        <w:rPr>
          <w:rFonts w:asciiTheme="majorHAnsi" w:hAnsiTheme="majorHAnsi"/>
          <w:bCs/>
          <w:sz w:val="20"/>
          <w:szCs w:val="20"/>
        </w:rPr>
        <w:t>kiddie</w:t>
      </w:r>
      <w:proofErr w:type="spellEnd"/>
      <w:r w:rsidRPr="0064289B">
        <w:rPr>
          <w:rFonts w:asciiTheme="majorHAnsi" w:hAnsiTheme="majorHAnsi"/>
          <w:bCs/>
          <w:sz w:val="20"/>
          <w:szCs w:val="20"/>
        </w:rPr>
        <w:t xml:space="preserve"> pool of water).  </w:t>
      </w:r>
    </w:p>
    <w:p w:rsidR="006C48A3" w:rsidRPr="0064289B" w:rsidRDefault="006C48A3" w:rsidP="006C48A3">
      <w:pPr>
        <w:pStyle w:val="Default"/>
        <w:rPr>
          <w:rFonts w:asciiTheme="majorHAnsi" w:hAnsiTheme="majorHAnsi"/>
          <w:bCs/>
          <w:sz w:val="20"/>
          <w:szCs w:val="20"/>
        </w:rPr>
      </w:pPr>
    </w:p>
    <w:p w:rsidR="006C48A3" w:rsidRPr="0064289B" w:rsidRDefault="006C48A3" w:rsidP="006C48A3">
      <w:pPr>
        <w:pStyle w:val="Default"/>
        <w:rPr>
          <w:rFonts w:asciiTheme="majorHAnsi" w:hAnsiTheme="majorHAnsi"/>
          <w:bCs/>
          <w:sz w:val="20"/>
          <w:szCs w:val="20"/>
        </w:rPr>
      </w:pPr>
      <w:r w:rsidRPr="0064289B">
        <w:rPr>
          <w:rFonts w:asciiTheme="majorHAnsi" w:hAnsiTheme="majorHAnsi"/>
          <w:bCs/>
          <w:sz w:val="20"/>
          <w:szCs w:val="20"/>
        </w:rPr>
        <w:t>The project is located away from water bodies and streams.</w:t>
      </w:r>
      <w:r w:rsidRPr="0064289B">
        <w:rPr>
          <w:rFonts w:asciiTheme="majorHAnsi" w:hAnsiTheme="majorHAnsi"/>
          <w:sz w:val="20"/>
          <w:szCs w:val="20"/>
        </w:rPr>
        <w:t xml:space="preserve">  </w:t>
      </w:r>
      <w:r w:rsidRPr="0064289B">
        <w:rPr>
          <w:rFonts w:asciiTheme="majorHAnsi" w:hAnsiTheme="majorHAnsi"/>
          <w:bCs/>
          <w:sz w:val="20"/>
          <w:szCs w:val="20"/>
        </w:rPr>
        <w:t xml:space="preserve">The water is treated and disinfected to LDH and DEQ standards.  This is a straight forward and simple project that benefits the environment while providing economic support for the parish. </w:t>
      </w:r>
    </w:p>
    <w:p w:rsidR="006C48A3" w:rsidRPr="0064289B" w:rsidRDefault="006C48A3" w:rsidP="006C48A3">
      <w:pPr>
        <w:pStyle w:val="Default"/>
        <w:rPr>
          <w:rFonts w:asciiTheme="majorHAnsi" w:hAnsiTheme="majorHAnsi"/>
          <w:bCs/>
          <w:sz w:val="20"/>
          <w:szCs w:val="20"/>
        </w:rPr>
      </w:pPr>
    </w:p>
    <w:p w:rsidR="006C48A3" w:rsidRPr="0064289B" w:rsidRDefault="006C48A3" w:rsidP="006C48A3">
      <w:pPr>
        <w:pStyle w:val="Default"/>
        <w:rPr>
          <w:rFonts w:asciiTheme="majorHAnsi" w:hAnsiTheme="majorHAnsi"/>
          <w:bCs/>
          <w:sz w:val="20"/>
          <w:szCs w:val="20"/>
        </w:rPr>
      </w:pPr>
      <w:r w:rsidRPr="0064289B">
        <w:rPr>
          <w:rFonts w:asciiTheme="majorHAnsi" w:hAnsiTheme="majorHAnsi"/>
          <w:bCs/>
          <w:sz w:val="20"/>
          <w:szCs w:val="20"/>
        </w:rPr>
        <w:t>Should you have further questions or if more information is required</w:t>
      </w:r>
      <w:proofErr w:type="gramStart"/>
      <w:r w:rsidRPr="0064289B">
        <w:rPr>
          <w:rFonts w:asciiTheme="majorHAnsi" w:hAnsiTheme="majorHAnsi"/>
          <w:bCs/>
          <w:sz w:val="20"/>
          <w:szCs w:val="20"/>
        </w:rPr>
        <w:t>,  please</w:t>
      </w:r>
      <w:proofErr w:type="gramEnd"/>
      <w:r w:rsidRPr="0064289B">
        <w:rPr>
          <w:rFonts w:asciiTheme="majorHAnsi" w:hAnsiTheme="majorHAnsi"/>
          <w:bCs/>
          <w:sz w:val="20"/>
          <w:szCs w:val="20"/>
        </w:rPr>
        <w:t xml:space="preserve"> feel free to contact me.</w:t>
      </w:r>
    </w:p>
    <w:p w:rsidR="006C48A3" w:rsidRPr="0064289B"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r w:rsidRPr="0064289B">
        <w:rPr>
          <w:rFonts w:asciiTheme="majorHAnsi" w:hAnsiTheme="majorHAnsi"/>
          <w:bCs/>
          <w:sz w:val="20"/>
          <w:szCs w:val="20"/>
        </w:rPr>
        <w:t>Respectfully,</w:t>
      </w: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p>
    <w:p w:rsidR="006C48A3" w:rsidRPr="0064289B" w:rsidRDefault="006C48A3" w:rsidP="006C48A3">
      <w:pPr>
        <w:pStyle w:val="Default"/>
        <w:rPr>
          <w:rFonts w:asciiTheme="majorHAnsi" w:hAnsiTheme="majorHAnsi"/>
          <w:bCs/>
          <w:sz w:val="20"/>
          <w:szCs w:val="20"/>
        </w:rPr>
      </w:pPr>
    </w:p>
    <w:p w:rsidR="006C48A3" w:rsidRPr="0064289B"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r w:rsidRPr="0064289B">
        <w:rPr>
          <w:rFonts w:asciiTheme="majorHAnsi" w:hAnsiTheme="majorHAnsi"/>
          <w:bCs/>
          <w:sz w:val="20"/>
          <w:szCs w:val="20"/>
        </w:rPr>
        <w:t>Brian A. Mistich, P.E.</w:t>
      </w: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proofErr w:type="spellStart"/>
      <w:r>
        <w:rPr>
          <w:rFonts w:asciiTheme="majorHAnsi" w:hAnsiTheme="majorHAnsi"/>
          <w:bCs/>
          <w:sz w:val="20"/>
          <w:szCs w:val="20"/>
        </w:rPr>
        <w:t>Dammon</w:t>
      </w:r>
      <w:proofErr w:type="spellEnd"/>
      <w:r>
        <w:rPr>
          <w:rFonts w:asciiTheme="majorHAnsi" w:hAnsiTheme="majorHAnsi"/>
          <w:bCs/>
          <w:sz w:val="20"/>
          <w:szCs w:val="20"/>
        </w:rPr>
        <w:t xml:space="preserve"> Engineering, Inc.</w:t>
      </w:r>
    </w:p>
    <w:p w:rsidR="006C48A3" w:rsidRDefault="006C48A3" w:rsidP="006C48A3">
      <w:pPr>
        <w:pStyle w:val="Default"/>
        <w:rPr>
          <w:rFonts w:asciiTheme="majorHAnsi" w:hAnsiTheme="majorHAnsi"/>
          <w:bCs/>
          <w:sz w:val="20"/>
          <w:szCs w:val="20"/>
        </w:rPr>
      </w:pPr>
      <w:r>
        <w:rPr>
          <w:rFonts w:asciiTheme="majorHAnsi" w:hAnsiTheme="majorHAnsi"/>
          <w:bCs/>
          <w:sz w:val="20"/>
          <w:szCs w:val="20"/>
        </w:rPr>
        <w:t>Louisiana and Mississippi</w:t>
      </w:r>
    </w:p>
    <w:p w:rsidR="006C48A3" w:rsidRDefault="006C48A3" w:rsidP="006C48A3">
      <w:pPr>
        <w:pStyle w:val="Default"/>
        <w:rPr>
          <w:rFonts w:asciiTheme="majorHAnsi" w:hAnsiTheme="majorHAnsi"/>
          <w:bCs/>
          <w:sz w:val="20"/>
          <w:szCs w:val="20"/>
        </w:rPr>
      </w:pPr>
      <w:r>
        <w:rPr>
          <w:rFonts w:asciiTheme="majorHAnsi" w:hAnsiTheme="majorHAnsi"/>
          <w:bCs/>
          <w:sz w:val="20"/>
          <w:szCs w:val="20"/>
        </w:rPr>
        <w:t>554 Old Spanish Trail</w:t>
      </w:r>
    </w:p>
    <w:p w:rsidR="006C48A3" w:rsidRDefault="006C48A3" w:rsidP="006C48A3">
      <w:pPr>
        <w:pStyle w:val="Default"/>
        <w:rPr>
          <w:rFonts w:asciiTheme="majorHAnsi" w:hAnsiTheme="majorHAnsi"/>
          <w:bCs/>
          <w:sz w:val="20"/>
          <w:szCs w:val="20"/>
        </w:rPr>
      </w:pPr>
      <w:r>
        <w:rPr>
          <w:rFonts w:asciiTheme="majorHAnsi" w:hAnsiTheme="majorHAnsi"/>
          <w:bCs/>
          <w:sz w:val="20"/>
          <w:szCs w:val="20"/>
        </w:rPr>
        <w:t>Slidell, Louisiana 70458</w:t>
      </w:r>
    </w:p>
    <w:p w:rsidR="006C48A3" w:rsidRDefault="006C48A3" w:rsidP="006C48A3">
      <w:pPr>
        <w:pStyle w:val="Default"/>
        <w:rPr>
          <w:rFonts w:asciiTheme="majorHAnsi" w:hAnsiTheme="majorHAnsi"/>
          <w:bCs/>
          <w:sz w:val="20"/>
          <w:szCs w:val="20"/>
        </w:rPr>
      </w:pPr>
      <w:r>
        <w:rPr>
          <w:rFonts w:asciiTheme="majorHAnsi" w:hAnsiTheme="majorHAnsi"/>
          <w:bCs/>
          <w:sz w:val="20"/>
          <w:szCs w:val="20"/>
        </w:rPr>
        <w:t>985-649-5832 (office)</w:t>
      </w:r>
    </w:p>
    <w:p w:rsidR="006C48A3" w:rsidRDefault="006C48A3" w:rsidP="006C48A3">
      <w:pPr>
        <w:pStyle w:val="Default"/>
        <w:rPr>
          <w:rFonts w:asciiTheme="majorHAnsi" w:hAnsiTheme="majorHAnsi"/>
          <w:bCs/>
          <w:sz w:val="20"/>
          <w:szCs w:val="20"/>
        </w:rPr>
      </w:pPr>
      <w:r>
        <w:rPr>
          <w:rFonts w:asciiTheme="majorHAnsi" w:hAnsiTheme="majorHAnsi"/>
          <w:bCs/>
          <w:sz w:val="20"/>
          <w:szCs w:val="20"/>
        </w:rPr>
        <w:t>985-285-4564 (cell)</w:t>
      </w: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p>
    <w:p w:rsidR="006C48A3" w:rsidRDefault="006C48A3" w:rsidP="006C48A3">
      <w:pPr>
        <w:pStyle w:val="Default"/>
        <w:rPr>
          <w:rFonts w:asciiTheme="majorHAnsi" w:hAnsiTheme="majorHAnsi"/>
          <w:bCs/>
          <w:sz w:val="20"/>
          <w:szCs w:val="20"/>
        </w:rPr>
      </w:pPr>
      <w:r>
        <w:rPr>
          <w:rFonts w:asciiTheme="majorHAnsi" w:hAnsiTheme="majorHAnsi"/>
          <w:bCs/>
          <w:sz w:val="20"/>
          <w:szCs w:val="20"/>
        </w:rPr>
        <w:t xml:space="preserve">XC:  Jacob </w:t>
      </w:r>
      <w:proofErr w:type="spellStart"/>
      <w:r>
        <w:rPr>
          <w:rFonts w:asciiTheme="majorHAnsi" w:hAnsiTheme="majorHAnsi"/>
          <w:bCs/>
          <w:sz w:val="20"/>
          <w:szCs w:val="20"/>
        </w:rPr>
        <w:t>Haffner</w:t>
      </w:r>
      <w:proofErr w:type="spellEnd"/>
    </w:p>
    <w:p w:rsidR="00105C62" w:rsidRDefault="00105C62" w:rsidP="00105C62">
      <w:pPr>
        <w:ind w:left="720"/>
      </w:pPr>
    </w:p>
    <w:sectPr w:rsidR="00105C62" w:rsidSect="006C48A3">
      <w:footnotePr>
        <w:pos w:val="beneathText"/>
      </w:footnotePr>
      <w:type w:val="continuous"/>
      <w:pgSz w:w="12240" w:h="15840"/>
      <w:pgMar w:top="1440" w:right="1440" w:bottom="1440" w:left="1440" w:header="27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EC9" w:rsidRDefault="00873EC9" w:rsidP="00B84259">
      <w:r>
        <w:separator/>
      </w:r>
    </w:p>
  </w:endnote>
  <w:endnote w:type="continuationSeparator" w:id="1">
    <w:p w:rsidR="00873EC9" w:rsidRDefault="00873EC9" w:rsidP="00B842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EC9" w:rsidRDefault="00873EC9" w:rsidP="00B84259">
      <w:r>
        <w:separator/>
      </w:r>
    </w:p>
  </w:footnote>
  <w:footnote w:type="continuationSeparator" w:id="1">
    <w:p w:rsidR="00873EC9" w:rsidRDefault="00873EC9"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2E95C4F"/>
    <w:multiLevelType w:val="hybridMultilevel"/>
    <w:tmpl w:val="3890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684AB5"/>
    <w:multiLevelType w:val="hybridMultilevel"/>
    <w:tmpl w:val="8A68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96717"/>
    <w:multiLevelType w:val="hybridMultilevel"/>
    <w:tmpl w:val="75E076BC"/>
    <w:lvl w:ilvl="0" w:tplc="A90CE10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7216D78"/>
    <w:multiLevelType w:val="hybridMultilevel"/>
    <w:tmpl w:val="5EDA252C"/>
    <w:lvl w:ilvl="0" w:tplc="37BC7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3E419B7"/>
    <w:multiLevelType w:val="hybridMultilevel"/>
    <w:tmpl w:val="42644F3A"/>
    <w:lvl w:ilvl="0" w:tplc="E6EA21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FB95EEE"/>
    <w:multiLevelType w:val="hybridMultilevel"/>
    <w:tmpl w:val="25A0BA4A"/>
    <w:lvl w:ilvl="0" w:tplc="2E34F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6"/>
  </w:num>
  <w:num w:numId="3">
    <w:abstractNumId w:val="2"/>
  </w:num>
  <w:num w:numId="4">
    <w:abstractNumId w:val="10"/>
  </w:num>
  <w:num w:numId="5">
    <w:abstractNumId w:val="9"/>
  </w:num>
  <w:num w:numId="6">
    <w:abstractNumId w:val="5"/>
  </w:num>
  <w:num w:numId="7">
    <w:abstractNumId w:val="4"/>
  </w:num>
  <w:num w:numId="8">
    <w:abstractNumId w:val="7"/>
  </w:num>
  <w:num w:numId="9">
    <w:abstractNumId w:val="3"/>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37889"/>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B0974"/>
    <w:rsid w:val="0010356D"/>
    <w:rsid w:val="00105C62"/>
    <w:rsid w:val="00110091"/>
    <w:rsid w:val="00121317"/>
    <w:rsid w:val="001409AC"/>
    <w:rsid w:val="00183978"/>
    <w:rsid w:val="001B2127"/>
    <w:rsid w:val="001F672C"/>
    <w:rsid w:val="00227B69"/>
    <w:rsid w:val="00232A4A"/>
    <w:rsid w:val="00234824"/>
    <w:rsid w:val="00281776"/>
    <w:rsid w:val="00285FF4"/>
    <w:rsid w:val="002A3C0A"/>
    <w:rsid w:val="002C2960"/>
    <w:rsid w:val="002C3FA5"/>
    <w:rsid w:val="002E4973"/>
    <w:rsid w:val="00300EBF"/>
    <w:rsid w:val="00313213"/>
    <w:rsid w:val="003512E3"/>
    <w:rsid w:val="00365426"/>
    <w:rsid w:val="003E29E9"/>
    <w:rsid w:val="00426127"/>
    <w:rsid w:val="00426848"/>
    <w:rsid w:val="00464BE7"/>
    <w:rsid w:val="00472AAD"/>
    <w:rsid w:val="00485413"/>
    <w:rsid w:val="004D7FE4"/>
    <w:rsid w:val="00501ABB"/>
    <w:rsid w:val="00521FF8"/>
    <w:rsid w:val="00544248"/>
    <w:rsid w:val="005D44B9"/>
    <w:rsid w:val="00624E6C"/>
    <w:rsid w:val="00656F37"/>
    <w:rsid w:val="006B5AD9"/>
    <w:rsid w:val="006C48A3"/>
    <w:rsid w:val="006D6CEF"/>
    <w:rsid w:val="006F08A9"/>
    <w:rsid w:val="006F688D"/>
    <w:rsid w:val="00700A2C"/>
    <w:rsid w:val="00700F6C"/>
    <w:rsid w:val="007058EA"/>
    <w:rsid w:val="007553E2"/>
    <w:rsid w:val="00763F30"/>
    <w:rsid w:val="00765FA6"/>
    <w:rsid w:val="007768A7"/>
    <w:rsid w:val="00795989"/>
    <w:rsid w:val="00797440"/>
    <w:rsid w:val="007B60EE"/>
    <w:rsid w:val="007D2B85"/>
    <w:rsid w:val="008132C1"/>
    <w:rsid w:val="00817EA8"/>
    <w:rsid w:val="00873EC9"/>
    <w:rsid w:val="00890EF7"/>
    <w:rsid w:val="008C041B"/>
    <w:rsid w:val="008C6D22"/>
    <w:rsid w:val="008D02D5"/>
    <w:rsid w:val="008D6490"/>
    <w:rsid w:val="0092790E"/>
    <w:rsid w:val="009D0538"/>
    <w:rsid w:val="00A85154"/>
    <w:rsid w:val="00B01C38"/>
    <w:rsid w:val="00B63A99"/>
    <w:rsid w:val="00B84259"/>
    <w:rsid w:val="00BB0C44"/>
    <w:rsid w:val="00BB6C08"/>
    <w:rsid w:val="00BC6680"/>
    <w:rsid w:val="00BC7177"/>
    <w:rsid w:val="00C10077"/>
    <w:rsid w:val="00C276AA"/>
    <w:rsid w:val="00C9736B"/>
    <w:rsid w:val="00CA19F4"/>
    <w:rsid w:val="00CA6CAE"/>
    <w:rsid w:val="00CB4BCF"/>
    <w:rsid w:val="00D554AC"/>
    <w:rsid w:val="00D56E33"/>
    <w:rsid w:val="00DB1820"/>
    <w:rsid w:val="00DC0E70"/>
    <w:rsid w:val="00E22873"/>
    <w:rsid w:val="00E81805"/>
    <w:rsid w:val="00EC0F94"/>
    <w:rsid w:val="00EE02A3"/>
    <w:rsid w:val="00F244EE"/>
    <w:rsid w:val="00F419E3"/>
    <w:rsid w:val="00F57E18"/>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 w:type="character" w:styleId="Hyperlink">
    <w:name w:val="Hyperlink"/>
    <w:basedOn w:val="DefaultParagraphFont"/>
    <w:uiPriority w:val="99"/>
    <w:semiHidden/>
    <w:unhideWhenUsed/>
    <w:rsid w:val="00F57E18"/>
    <w:rPr>
      <w:color w:val="0000FF"/>
      <w:u w:val="single"/>
    </w:rPr>
  </w:style>
  <w:style w:type="paragraph" w:customStyle="1" w:styleId="Default">
    <w:name w:val="Default"/>
    <w:rsid w:val="006C48A3"/>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6239</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14</cp:revision>
  <cp:lastPrinted>2019-11-26T16:09:00Z</cp:lastPrinted>
  <dcterms:created xsi:type="dcterms:W3CDTF">2019-11-26T15:51:00Z</dcterms:created>
  <dcterms:modified xsi:type="dcterms:W3CDTF">2021-01-12T15:56:00Z</dcterms:modified>
</cp:coreProperties>
</file>