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7C" w:rsidRDefault="00144D7C" w:rsidP="00144D7C">
      <w:pPr>
        <w:pStyle w:val="ListParagraph"/>
        <w:numPr>
          <w:ilvl w:val="0"/>
          <w:numId w:val="1"/>
        </w:numPr>
        <w:rPr>
          <w:b/>
        </w:rPr>
      </w:pPr>
      <w:bookmarkStart w:id="0" w:name="_Toc262023668"/>
      <w:bookmarkStart w:id="1" w:name="_Toc342372847"/>
      <w:r>
        <w:rPr>
          <w:b/>
        </w:rPr>
        <w:t xml:space="preserve">  309 Will be required to have a certified operator</w:t>
      </w:r>
    </w:p>
    <w:p w:rsidR="00144D7C" w:rsidRDefault="00144D7C" w:rsidP="00144D7C">
      <w:pPr>
        <w:pStyle w:val="ListParagraph"/>
        <w:numPr>
          <w:ilvl w:val="0"/>
          <w:numId w:val="1"/>
        </w:numPr>
        <w:rPr>
          <w:b/>
        </w:rPr>
      </w:pPr>
      <w:r>
        <w:rPr>
          <w:b/>
        </w:rPr>
        <w:t xml:space="preserve">  315  will need to secure the well head area</w:t>
      </w:r>
    </w:p>
    <w:p w:rsidR="00144D7C" w:rsidRDefault="00144D7C" w:rsidP="00144D7C">
      <w:pPr>
        <w:pStyle w:val="ListParagraph"/>
        <w:numPr>
          <w:ilvl w:val="0"/>
          <w:numId w:val="1"/>
        </w:numPr>
        <w:rPr>
          <w:b/>
        </w:rPr>
      </w:pPr>
      <w:r>
        <w:rPr>
          <w:b/>
        </w:rPr>
        <w:t xml:space="preserve">  327  Well will have to be outside of sources of contamination and have good drainage</w:t>
      </w:r>
    </w:p>
    <w:p w:rsidR="00144D7C" w:rsidRDefault="00244E04" w:rsidP="00144D7C">
      <w:pPr>
        <w:pStyle w:val="ListParagraph"/>
        <w:numPr>
          <w:ilvl w:val="0"/>
          <w:numId w:val="1"/>
        </w:numPr>
        <w:rPr>
          <w:b/>
        </w:rPr>
      </w:pPr>
      <w:r>
        <w:rPr>
          <w:b/>
        </w:rPr>
        <w:t xml:space="preserve">  329 Well will need casing raised at least 2’ above ground level</w:t>
      </w:r>
    </w:p>
    <w:p w:rsidR="00244E04" w:rsidRDefault="00244E04" w:rsidP="00144D7C">
      <w:pPr>
        <w:pStyle w:val="ListParagraph"/>
        <w:numPr>
          <w:ilvl w:val="0"/>
          <w:numId w:val="1"/>
        </w:numPr>
        <w:rPr>
          <w:b/>
        </w:rPr>
      </w:pPr>
      <w:r>
        <w:rPr>
          <w:b/>
        </w:rPr>
        <w:t xml:space="preserve">  355 Water shall have 30 minutes contact time for disinfection.  (Need # of seats in lounge)</w:t>
      </w:r>
    </w:p>
    <w:p w:rsidR="00244E04" w:rsidRDefault="00244E04" w:rsidP="00144D7C">
      <w:pPr>
        <w:pStyle w:val="ListParagraph"/>
        <w:numPr>
          <w:ilvl w:val="0"/>
          <w:numId w:val="1"/>
        </w:numPr>
        <w:rPr>
          <w:b/>
        </w:rPr>
      </w:pPr>
      <w:r>
        <w:rPr>
          <w:b/>
        </w:rPr>
        <w:t xml:space="preserve">   Need the well Drillers log</w:t>
      </w:r>
    </w:p>
    <w:p w:rsidR="00244E04" w:rsidRDefault="00244E04" w:rsidP="00144D7C">
      <w:pPr>
        <w:pStyle w:val="ListParagraph"/>
        <w:numPr>
          <w:ilvl w:val="0"/>
          <w:numId w:val="1"/>
        </w:numPr>
        <w:rPr>
          <w:b/>
        </w:rPr>
      </w:pPr>
      <w:r>
        <w:rPr>
          <w:b/>
        </w:rPr>
        <w:t xml:space="preserve">   Need diagram of system of system layout</w:t>
      </w:r>
    </w:p>
    <w:p w:rsidR="00244E04" w:rsidRPr="00144D7C" w:rsidRDefault="00244E04" w:rsidP="00144D7C">
      <w:pPr>
        <w:pStyle w:val="ListParagraph"/>
        <w:numPr>
          <w:ilvl w:val="0"/>
          <w:numId w:val="1"/>
        </w:numPr>
        <w:rPr>
          <w:b/>
        </w:rPr>
      </w:pPr>
      <w:r>
        <w:rPr>
          <w:b/>
        </w:rPr>
        <w:t xml:space="preserve">   More pages need to be filled out in Design Summary Package  (well pages &amp; distribution pages)</w:t>
      </w:r>
    </w:p>
    <w:p w:rsidR="00144D7C" w:rsidRDefault="00144D7C" w:rsidP="0098545F">
      <w:pPr>
        <w:rPr>
          <w:b/>
        </w:rPr>
      </w:pPr>
    </w:p>
    <w:p w:rsidR="00144D7C" w:rsidRDefault="00144D7C" w:rsidP="0098545F">
      <w:pPr>
        <w:rPr>
          <w:b/>
        </w:rPr>
      </w:pPr>
    </w:p>
    <w:p w:rsidR="0098545F" w:rsidRPr="0098545F" w:rsidRDefault="0098545F" w:rsidP="0098545F">
      <w:pPr>
        <w:rPr>
          <w:b/>
        </w:rPr>
      </w:pPr>
      <w:r w:rsidRPr="0098545F">
        <w:rPr>
          <w:b/>
        </w:rPr>
        <w:t>§309.</w:t>
      </w:r>
      <w:r w:rsidRPr="0098545F">
        <w:rPr>
          <w:b/>
        </w:rPr>
        <w:tab/>
        <w:t xml:space="preserve">Plant Supervision and </w:t>
      </w:r>
      <w:proofErr w:type="gramStart"/>
      <w:r w:rsidRPr="0098545F">
        <w:rPr>
          <w:b/>
        </w:rPr>
        <w:t>Control</w:t>
      </w:r>
      <w:proofErr w:type="gramEnd"/>
      <w:r w:rsidRPr="0098545F">
        <w:rPr>
          <w:b/>
        </w:rPr>
        <w:br/>
        <w:t>[formerly paragraph 12:003-2]</w:t>
      </w:r>
      <w:bookmarkEnd w:id="0"/>
      <w:bookmarkEnd w:id="1"/>
    </w:p>
    <w:p w:rsidR="0098545F" w:rsidRPr="0098545F" w:rsidRDefault="0098545F" w:rsidP="0098545F">
      <w:r w:rsidRPr="0098545F">
        <w:t>A.</w:t>
      </w:r>
      <w:r w:rsidRPr="0098545F">
        <w:tab/>
        <w:t>All public water supplies shall be under the supervision and control of a duly certified operator as per requirements of the State Operator Certification Act, Act 538 of 1972, as amended (R.S. 40:1141-1151).</w:t>
      </w:r>
    </w:p>
    <w:p w:rsidR="0098545F" w:rsidRPr="0098545F" w:rsidRDefault="0098545F" w:rsidP="0098545F">
      <w:pPr>
        <w:rPr>
          <w:b/>
        </w:rPr>
      </w:pPr>
      <w:bookmarkStart w:id="2" w:name="_Toc342372850"/>
      <w:r w:rsidRPr="0098545F">
        <w:rPr>
          <w:b/>
        </w:rPr>
        <w:t>§315.</w:t>
      </w:r>
      <w:r w:rsidRPr="0098545F">
        <w:rPr>
          <w:b/>
        </w:rPr>
        <w:tab/>
      </w:r>
      <w:proofErr w:type="gramStart"/>
      <w:r w:rsidRPr="0098545F">
        <w:rPr>
          <w:b/>
        </w:rPr>
        <w:t>Security</w:t>
      </w:r>
      <w:proofErr w:type="gramEnd"/>
      <w:r w:rsidRPr="0098545F">
        <w:rPr>
          <w:b/>
        </w:rPr>
        <w:br/>
        <w:t>[formerly paragraph 12:003-5]</w:t>
      </w:r>
      <w:bookmarkEnd w:id="2"/>
    </w:p>
    <w:p w:rsidR="0098545F" w:rsidRPr="0098545F" w:rsidRDefault="0098545F" w:rsidP="0098545F">
      <w:r w:rsidRPr="0098545F">
        <w:t>A.</w:t>
      </w:r>
      <w:r w:rsidRPr="0098545F">
        <w:tab/>
        <w:t>All public water supply wells, treatment units, tanks, etc., shall be located inside a fenced area that is capable of being locked; said areas shall be locked when unattended. The fence shall be resistant to climbing and at least 6 feet high.</w:t>
      </w:r>
    </w:p>
    <w:p w:rsidR="0098545F" w:rsidRPr="0098545F" w:rsidRDefault="0098545F" w:rsidP="0098545F">
      <w:pPr>
        <w:rPr>
          <w:b/>
        </w:rPr>
      </w:pPr>
      <w:bookmarkStart w:id="3" w:name="_Toc262023676"/>
      <w:bookmarkStart w:id="4" w:name="_Toc342372856"/>
      <w:r w:rsidRPr="0098545F">
        <w:rPr>
          <w:b/>
        </w:rPr>
        <w:t>§327.</w:t>
      </w:r>
      <w:r w:rsidRPr="0098545F">
        <w:rPr>
          <w:b/>
        </w:rPr>
        <w:tab/>
        <w:t xml:space="preserve">Ground Water </w:t>
      </w:r>
      <w:proofErr w:type="gramStart"/>
      <w:r w:rsidRPr="0098545F">
        <w:rPr>
          <w:b/>
        </w:rPr>
        <w:t>Supplies</w:t>
      </w:r>
      <w:proofErr w:type="gramEnd"/>
      <w:r w:rsidRPr="0098545F">
        <w:rPr>
          <w:b/>
        </w:rPr>
        <w:br/>
        <w:t>[formerly paragraph 12:008-1]</w:t>
      </w:r>
      <w:bookmarkEnd w:id="3"/>
      <w:bookmarkEnd w:id="4"/>
    </w:p>
    <w:p w:rsidR="0098545F" w:rsidRPr="0098545F" w:rsidRDefault="0098545F" w:rsidP="0098545F">
      <w:r w:rsidRPr="0098545F">
        <w:t>A.</w:t>
      </w:r>
      <w:r w:rsidRPr="0098545F">
        <w:tab/>
        <w:t>All potable ground water supplies shall comply with the following requirements.</w:t>
      </w:r>
    </w:p>
    <w:p w:rsidR="0098545F" w:rsidRPr="0098545F" w:rsidRDefault="0098545F" w:rsidP="0098545F">
      <w:r w:rsidRPr="0098545F">
        <w:t>1.</w:t>
      </w:r>
      <w:r w:rsidRPr="0098545F">
        <w:tab/>
      </w:r>
      <w:r w:rsidRPr="0098545F">
        <w:rPr>
          <w:bCs/>
        </w:rPr>
        <w:t xml:space="preserve">[formerly paragraph 12:008-2 Exclusion of Surface Water from Site] </w:t>
      </w:r>
      <w:proofErr w:type="gramStart"/>
      <w:r w:rsidRPr="0098545F">
        <w:t>The</w:t>
      </w:r>
      <w:proofErr w:type="gramEnd"/>
      <w:r w:rsidRPr="0098545F">
        <w:t xml:space="preserve"> ground surface within a safe horizontal distance of the source in all directions shall not be subject to flooding (as defined in Footnote 4 of §327.A.2 below) and shall be so graded and drained as to facilitate the rapid removal of surface water. This horizontal distance shall in no case be less than 50 feet for potable water supplies.</w:t>
      </w:r>
    </w:p>
    <w:p w:rsidR="0098545F" w:rsidRPr="0098545F" w:rsidRDefault="0098545F" w:rsidP="0098545F">
      <w:r w:rsidRPr="0098545F">
        <w:t>2.</w:t>
      </w:r>
      <w:r w:rsidRPr="0098545F">
        <w:tab/>
      </w:r>
      <w:r w:rsidRPr="0098545F">
        <w:rPr>
          <w:bCs/>
        </w:rPr>
        <w:t xml:space="preserve">[formerly paragraph 12:008-3 Distances to Sources of Contamination] </w:t>
      </w:r>
      <w:r w:rsidRPr="0098545F">
        <w:t>Every potable water well, and the immediate appurtenances thereto that comprise the well, shall be located at a safe distance from all possible sources of contamination, including but not limited to, privies, cesspools, septic tanks, subsurface tile systems, sewers, drains, barnyards and pits below the ground surface. The horizontal distance from any such possible source of pollution shall be as great as possible, but in no case less than the following minimum distances, except as otherwise approved by the state health officer.</w:t>
      </w:r>
    </w:p>
    <w:tbl>
      <w:tblPr>
        <w:tblW w:w="4582" w:type="dxa"/>
        <w:jc w:val="center"/>
        <w:tblInd w:w="-590"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tblPr>
      <w:tblGrid>
        <w:gridCol w:w="3563"/>
        <w:gridCol w:w="1019"/>
      </w:tblGrid>
      <w:tr w:rsidR="0098545F" w:rsidRPr="0098545F" w:rsidTr="00317074">
        <w:tblPrEx>
          <w:tblCellMar>
            <w:top w:w="0" w:type="dxa"/>
            <w:bottom w:w="0" w:type="dxa"/>
          </w:tblCellMar>
        </w:tblPrEx>
        <w:trPr>
          <w:cantSplit/>
          <w:jc w:val="center"/>
        </w:trPr>
        <w:tc>
          <w:tcPr>
            <w:tcW w:w="3563" w:type="dxa"/>
            <w:tcBorders>
              <w:top w:val="double" w:sz="6" w:space="0" w:color="auto"/>
              <w:bottom w:val="single" w:sz="6" w:space="0" w:color="000000"/>
            </w:tcBorders>
            <w:shd w:val="clear" w:color="auto" w:fill="BFBFBF"/>
            <w:vAlign w:val="center"/>
          </w:tcPr>
          <w:p w:rsidR="0098545F" w:rsidRPr="0098545F" w:rsidRDefault="0098545F" w:rsidP="0098545F">
            <w:pPr>
              <w:rPr>
                <w:b/>
              </w:rPr>
            </w:pPr>
            <w:r w:rsidRPr="0098545F">
              <w:rPr>
                <w:b/>
              </w:rPr>
              <w:lastRenderedPageBreak/>
              <w:t>Source</w:t>
            </w:r>
          </w:p>
        </w:tc>
        <w:tc>
          <w:tcPr>
            <w:tcW w:w="1019" w:type="dxa"/>
            <w:tcBorders>
              <w:top w:val="double" w:sz="6" w:space="0" w:color="auto"/>
              <w:bottom w:val="single" w:sz="6" w:space="0" w:color="000000"/>
            </w:tcBorders>
            <w:shd w:val="clear" w:color="auto" w:fill="BFBFBF"/>
            <w:vAlign w:val="bottom"/>
          </w:tcPr>
          <w:p w:rsidR="0098545F" w:rsidRPr="0098545F" w:rsidRDefault="0098545F" w:rsidP="0098545F">
            <w:pPr>
              <w:rPr>
                <w:b/>
              </w:rPr>
            </w:pPr>
            <w:r w:rsidRPr="0098545F">
              <w:rPr>
                <w:b/>
              </w:rPr>
              <w:t>Distance in Feet</w:t>
            </w:r>
          </w:p>
        </w:tc>
      </w:tr>
      <w:tr w:rsidR="0098545F" w:rsidRPr="0098545F" w:rsidTr="00317074">
        <w:tblPrEx>
          <w:tblCellMar>
            <w:top w:w="0" w:type="dxa"/>
            <w:bottom w:w="0" w:type="dxa"/>
          </w:tblCellMar>
        </w:tblPrEx>
        <w:trPr>
          <w:cantSplit/>
          <w:jc w:val="center"/>
        </w:trPr>
        <w:tc>
          <w:tcPr>
            <w:tcW w:w="3563" w:type="dxa"/>
            <w:tcBorders>
              <w:top w:val="single" w:sz="6" w:space="0" w:color="000000"/>
            </w:tcBorders>
          </w:tcPr>
          <w:p w:rsidR="0098545F" w:rsidRPr="0098545F" w:rsidRDefault="0098545F" w:rsidP="0098545F">
            <w:r w:rsidRPr="0098545F">
              <w:t>Septic tanks</w:t>
            </w:r>
          </w:p>
        </w:tc>
        <w:tc>
          <w:tcPr>
            <w:tcW w:w="1019" w:type="dxa"/>
            <w:tcBorders>
              <w:top w:val="single" w:sz="6" w:space="0" w:color="000000"/>
            </w:tcBorders>
            <w:vAlign w:val="bottom"/>
          </w:tcPr>
          <w:p w:rsidR="0098545F" w:rsidRPr="0098545F" w:rsidRDefault="0098545F" w:rsidP="0098545F">
            <w:r w:rsidRPr="0098545F">
              <w:t>50</w:t>
            </w:r>
          </w:p>
        </w:tc>
      </w:tr>
      <w:tr w:rsidR="0098545F" w:rsidRPr="0098545F" w:rsidTr="00317074">
        <w:tblPrEx>
          <w:tblCellMar>
            <w:top w:w="0" w:type="dxa"/>
            <w:bottom w:w="0" w:type="dxa"/>
          </w:tblCellMar>
        </w:tblPrEx>
        <w:trPr>
          <w:cantSplit/>
          <w:jc w:val="center"/>
        </w:trPr>
        <w:tc>
          <w:tcPr>
            <w:tcW w:w="3563" w:type="dxa"/>
          </w:tcPr>
          <w:p w:rsidR="0098545F" w:rsidRPr="0098545F" w:rsidRDefault="0098545F" w:rsidP="0098545F">
            <w:r w:rsidRPr="0098545F">
              <w:t>Storm or sanitary sewer</w:t>
            </w:r>
          </w:p>
        </w:tc>
        <w:tc>
          <w:tcPr>
            <w:tcW w:w="1019" w:type="dxa"/>
            <w:vAlign w:val="bottom"/>
          </w:tcPr>
          <w:p w:rsidR="0098545F" w:rsidRPr="0098545F" w:rsidRDefault="0098545F" w:rsidP="0098545F">
            <w:r w:rsidRPr="0098545F">
              <w:t xml:space="preserve"> 50</w:t>
            </w:r>
            <w:r w:rsidRPr="0098545F">
              <w:rPr>
                <w:vertAlign w:val="superscript"/>
              </w:rPr>
              <w:t>1</w:t>
            </w:r>
          </w:p>
        </w:tc>
      </w:tr>
      <w:tr w:rsidR="0098545F" w:rsidRPr="0098545F" w:rsidTr="00317074">
        <w:tblPrEx>
          <w:tblCellMar>
            <w:top w:w="0" w:type="dxa"/>
            <w:bottom w:w="0" w:type="dxa"/>
          </w:tblCellMar>
        </w:tblPrEx>
        <w:trPr>
          <w:cantSplit/>
          <w:jc w:val="center"/>
        </w:trPr>
        <w:tc>
          <w:tcPr>
            <w:tcW w:w="3563" w:type="dxa"/>
          </w:tcPr>
          <w:p w:rsidR="0098545F" w:rsidRPr="0098545F" w:rsidRDefault="0098545F" w:rsidP="0098545F">
            <w:r w:rsidRPr="0098545F">
              <w:t>Cesspools, outdoor privies, oxidation ponds, subsurface absorption fields, pits, mechanical sewage treatment plants, etc.</w:t>
            </w:r>
          </w:p>
        </w:tc>
        <w:tc>
          <w:tcPr>
            <w:tcW w:w="1019" w:type="dxa"/>
            <w:vAlign w:val="bottom"/>
          </w:tcPr>
          <w:p w:rsidR="0098545F" w:rsidRPr="0098545F" w:rsidRDefault="0098545F" w:rsidP="0098545F">
            <w:r w:rsidRPr="0098545F">
              <w:t>100</w:t>
            </w:r>
            <w:r w:rsidRPr="0098545F">
              <w:rPr>
                <w:vertAlign w:val="superscript"/>
              </w:rPr>
              <w:t>2</w:t>
            </w:r>
          </w:p>
        </w:tc>
      </w:tr>
      <w:tr w:rsidR="0098545F" w:rsidRPr="0098545F" w:rsidTr="00317074">
        <w:tblPrEx>
          <w:tblCellMar>
            <w:top w:w="0" w:type="dxa"/>
            <w:bottom w:w="0" w:type="dxa"/>
          </w:tblCellMar>
        </w:tblPrEx>
        <w:trPr>
          <w:cantSplit/>
          <w:jc w:val="center"/>
        </w:trPr>
        <w:tc>
          <w:tcPr>
            <w:tcW w:w="3563" w:type="dxa"/>
          </w:tcPr>
          <w:p w:rsidR="0098545F" w:rsidRPr="0098545F" w:rsidRDefault="0098545F" w:rsidP="0098545F">
            <w:r w:rsidRPr="0098545F">
              <w:t>Another water-well</w:t>
            </w:r>
          </w:p>
        </w:tc>
        <w:tc>
          <w:tcPr>
            <w:tcW w:w="1019" w:type="dxa"/>
            <w:vAlign w:val="bottom"/>
          </w:tcPr>
          <w:p w:rsidR="0098545F" w:rsidRPr="0098545F" w:rsidRDefault="0098545F" w:rsidP="0098545F">
            <w:r w:rsidRPr="0098545F">
              <w:t xml:space="preserve">  25</w:t>
            </w:r>
            <w:r w:rsidRPr="0098545F">
              <w:rPr>
                <w:vertAlign w:val="superscript"/>
              </w:rPr>
              <w:t>3</w:t>
            </w:r>
          </w:p>
        </w:tc>
      </w:tr>
      <w:tr w:rsidR="0098545F" w:rsidRPr="0098545F" w:rsidTr="00317074">
        <w:tblPrEx>
          <w:tblCellMar>
            <w:top w:w="0" w:type="dxa"/>
            <w:bottom w:w="0" w:type="dxa"/>
          </w:tblCellMar>
        </w:tblPrEx>
        <w:trPr>
          <w:cantSplit/>
          <w:jc w:val="center"/>
        </w:trPr>
        <w:tc>
          <w:tcPr>
            <w:tcW w:w="3563" w:type="dxa"/>
          </w:tcPr>
          <w:p w:rsidR="0098545F" w:rsidRPr="0098545F" w:rsidRDefault="0098545F" w:rsidP="0098545F">
            <w:r w:rsidRPr="0098545F">
              <w:t xml:space="preserve">Sanitary landfills, feed lots, manure piles, solid waste dumps and similar installations </w:t>
            </w:r>
          </w:p>
        </w:tc>
        <w:tc>
          <w:tcPr>
            <w:tcW w:w="1019" w:type="dxa"/>
            <w:vAlign w:val="bottom"/>
          </w:tcPr>
          <w:p w:rsidR="0098545F" w:rsidRPr="0098545F" w:rsidRDefault="0098545F" w:rsidP="0098545F">
            <w:r w:rsidRPr="0098545F">
              <w:t>100</w:t>
            </w:r>
          </w:p>
        </w:tc>
      </w:tr>
      <w:tr w:rsidR="0098545F" w:rsidRPr="0098545F" w:rsidTr="00317074">
        <w:tblPrEx>
          <w:tblCellMar>
            <w:top w:w="0" w:type="dxa"/>
            <w:bottom w:w="0" w:type="dxa"/>
          </w:tblCellMar>
        </w:tblPrEx>
        <w:trPr>
          <w:cantSplit/>
          <w:jc w:val="center"/>
        </w:trPr>
        <w:tc>
          <w:tcPr>
            <w:tcW w:w="3563" w:type="dxa"/>
          </w:tcPr>
          <w:p w:rsidR="0098545F" w:rsidRPr="0098545F" w:rsidRDefault="0098545F" w:rsidP="0098545F">
            <w:r w:rsidRPr="0098545F">
              <w:t xml:space="preserve">Drainage canal, ditch or stream </w:t>
            </w:r>
          </w:p>
        </w:tc>
        <w:tc>
          <w:tcPr>
            <w:tcW w:w="1019" w:type="dxa"/>
            <w:vAlign w:val="bottom"/>
          </w:tcPr>
          <w:p w:rsidR="0098545F" w:rsidRPr="0098545F" w:rsidRDefault="0098545F" w:rsidP="0098545F">
            <w:r w:rsidRPr="0098545F">
              <w:t xml:space="preserve">   50</w:t>
            </w:r>
            <w:r w:rsidRPr="0098545F">
              <w:rPr>
                <w:vertAlign w:val="superscript"/>
              </w:rPr>
              <w:t>4</w:t>
            </w:r>
          </w:p>
        </w:tc>
      </w:tr>
    </w:tbl>
    <w:p w:rsidR="0098545F" w:rsidRPr="0098545F" w:rsidRDefault="0098545F" w:rsidP="0098545F">
      <w:r w:rsidRPr="0098545F">
        <w:rPr>
          <w:vertAlign w:val="superscript"/>
        </w:rPr>
        <w:t>1</w:t>
      </w:r>
      <w:r w:rsidRPr="0098545F">
        <w:t xml:space="preserve"> This distance may be reduced to 30 feet if the sewer is of cast iron with leaded joints or Schedule 40 plastic pipe with water-tight joints.</w:t>
      </w:r>
    </w:p>
    <w:p w:rsidR="0098545F" w:rsidRPr="0098545F" w:rsidRDefault="0098545F" w:rsidP="0098545F">
      <w:proofErr w:type="gramStart"/>
      <w:r w:rsidRPr="0098545F">
        <w:rPr>
          <w:vertAlign w:val="superscript"/>
        </w:rPr>
        <w:t>2</w:t>
      </w:r>
      <w:r w:rsidRPr="0098545F">
        <w:t xml:space="preserve"> For a private water</w:t>
      </w:r>
      <w:proofErr w:type="gramEnd"/>
      <w:r w:rsidRPr="0098545F">
        <w:t xml:space="preserve"> well this distance may be reduced to 50 feet.</w:t>
      </w:r>
    </w:p>
    <w:p w:rsidR="0098545F" w:rsidRPr="0098545F" w:rsidRDefault="0098545F" w:rsidP="0098545F">
      <w:r w:rsidRPr="0098545F">
        <w:rPr>
          <w:vertAlign w:val="superscript"/>
        </w:rPr>
        <w:t xml:space="preserve">3 </w:t>
      </w:r>
      <w:r w:rsidRPr="0098545F">
        <w:t>This minimum distance requirement does not take into consideration the effects of interference from pumping nearby wells in the same aquifer.</w:t>
      </w:r>
    </w:p>
    <w:p w:rsidR="0098545F" w:rsidRPr="0098545F" w:rsidRDefault="0098545F" w:rsidP="0098545F">
      <w:r w:rsidRPr="0098545F">
        <w:rPr>
          <w:vertAlign w:val="superscript"/>
        </w:rPr>
        <w:t>4</w:t>
      </w:r>
      <w:r w:rsidRPr="0098545F">
        <w:t xml:space="preserve"> Horizontally measured from the water's edge to the well at the highest water level which may have occurred in a 10-year period.</w:t>
      </w:r>
    </w:p>
    <w:p w:rsidR="00D74213" w:rsidRDefault="0098545F">
      <w:r w:rsidRPr="0098545F">
        <w:t>6.</w:t>
      </w:r>
      <w:r w:rsidRPr="0098545F">
        <w:rPr>
          <w:bCs/>
        </w:rPr>
        <w:tab/>
        <w:t xml:space="preserve">[formerly paragraph 12:008-7 Minimum Depth of Casings and </w:t>
      </w:r>
      <w:proofErr w:type="spellStart"/>
      <w:r w:rsidRPr="0098545F">
        <w:rPr>
          <w:bCs/>
        </w:rPr>
        <w:t>Curbings</w:t>
      </w:r>
      <w:proofErr w:type="spellEnd"/>
      <w:r w:rsidRPr="0098545F">
        <w:rPr>
          <w:bCs/>
        </w:rPr>
        <w:t xml:space="preserve">] </w:t>
      </w:r>
      <w:r w:rsidRPr="0098545F">
        <w:t xml:space="preserve">All well and spring basin casings or </w:t>
      </w:r>
      <w:proofErr w:type="spellStart"/>
      <w:r w:rsidRPr="0098545F">
        <w:t>curbings</w:t>
      </w:r>
      <w:proofErr w:type="spellEnd"/>
      <w:r w:rsidRPr="0098545F">
        <w:t xml:space="preserve"> shall extend a safe distance below the ground surface. The minimum depth of casings or </w:t>
      </w:r>
      <w:proofErr w:type="spellStart"/>
      <w:r w:rsidRPr="0098545F">
        <w:t>curbings</w:t>
      </w:r>
      <w:proofErr w:type="spellEnd"/>
      <w:r w:rsidRPr="0098545F">
        <w:t xml:space="preserve"> shall not be less than 50 feet in the case of public water supplies and not less than 10 feet in the case of private water supplies</w:t>
      </w:r>
    </w:p>
    <w:p w:rsidR="0098545F" w:rsidRPr="0098545F" w:rsidRDefault="0098545F" w:rsidP="0098545F">
      <w:r w:rsidRPr="0098545F">
        <w:t>8.</w:t>
      </w:r>
      <w:r w:rsidRPr="0098545F">
        <w:rPr>
          <w:bCs/>
        </w:rPr>
        <w:tab/>
        <w:t xml:space="preserve">[formerly paragraph 12:008-9 Grouting] </w:t>
      </w:r>
      <w:proofErr w:type="gramStart"/>
      <w:r w:rsidRPr="0098545F">
        <w:t>The</w:t>
      </w:r>
      <w:proofErr w:type="gramEnd"/>
      <w:r w:rsidRPr="0098545F">
        <w:t xml:space="preserve"> annular space between the well casing and the bore hole shall be sealed with cement-</w:t>
      </w:r>
      <w:proofErr w:type="spellStart"/>
      <w:r w:rsidRPr="0098545F">
        <w:t>bentonite</w:t>
      </w:r>
      <w:proofErr w:type="spellEnd"/>
      <w:r w:rsidRPr="0098545F">
        <w:t xml:space="preserve"> slurry or neat cement. Community public supply wells shall be cemented to their</w:t>
      </w:r>
      <w:r w:rsidRPr="0098545F">
        <w:rPr>
          <w:rFonts w:ascii="Times New Roman" w:eastAsia="Times New Roman" w:hAnsi="Times New Roman" w:cs="Times New Roman"/>
          <w:kern w:val="2"/>
          <w:sz w:val="20"/>
          <w:szCs w:val="20"/>
        </w:rPr>
        <w:t xml:space="preserve"> </w:t>
      </w:r>
      <w:r w:rsidRPr="0098545F">
        <w:t xml:space="preserve">full depth from the top of the producing aquifer to the ground surface; </w:t>
      </w:r>
      <w:proofErr w:type="spellStart"/>
      <w:r w:rsidRPr="0098545F">
        <w:t>noncommunity</w:t>
      </w:r>
      <w:proofErr w:type="spellEnd"/>
      <w:r w:rsidRPr="0098545F">
        <w:t xml:space="preserve"> public supply wells shall be cemented from a minimum depth of 50 feet to the ground surface; and private supply wells shall be cemented from a minimum depth of 10 feet to the ground surface.</w:t>
      </w:r>
    </w:p>
    <w:p w:rsidR="00144D7C" w:rsidRPr="00144D7C" w:rsidRDefault="00144D7C" w:rsidP="00144D7C">
      <w:pPr>
        <w:rPr>
          <w:b/>
        </w:rPr>
      </w:pPr>
      <w:bookmarkStart w:id="5" w:name="_Toc262023677"/>
      <w:bookmarkStart w:id="6" w:name="_Toc342372857"/>
      <w:r w:rsidRPr="00144D7C">
        <w:rPr>
          <w:b/>
        </w:rPr>
        <w:t>§329.</w:t>
      </w:r>
      <w:r w:rsidRPr="00144D7C">
        <w:rPr>
          <w:b/>
        </w:rPr>
        <w:tab/>
        <w:t xml:space="preserve">Construction and Installation of </w:t>
      </w:r>
      <w:proofErr w:type="gramStart"/>
      <w:r w:rsidRPr="00144D7C">
        <w:rPr>
          <w:b/>
        </w:rPr>
        <w:t>Pumps</w:t>
      </w:r>
      <w:proofErr w:type="gramEnd"/>
      <w:r w:rsidRPr="00144D7C">
        <w:rPr>
          <w:b/>
        </w:rPr>
        <w:br/>
        <w:t>[formerly paragraph 12:009-1]</w:t>
      </w:r>
      <w:bookmarkEnd w:id="5"/>
      <w:bookmarkEnd w:id="6"/>
    </w:p>
    <w:p w:rsidR="00144D7C" w:rsidRPr="00144D7C" w:rsidRDefault="00144D7C" w:rsidP="00144D7C">
      <w:r w:rsidRPr="00144D7C">
        <w:lastRenderedPageBreak/>
        <w:t>3.</w:t>
      </w:r>
      <w:r w:rsidRPr="00144D7C">
        <w:tab/>
      </w:r>
      <w:r w:rsidRPr="00144D7C">
        <w:rPr>
          <w:bCs/>
        </w:rPr>
        <w:t xml:space="preserve">[formerly paragraph 12:009-4] </w:t>
      </w:r>
      <w:r w:rsidRPr="00144D7C">
        <w:t>Where power pumps are not placed directly over the well, the well casing shall extend at least 12 inches above the floor of the pump house. In flood-prone areas the top of the casing shall extend at least 2 feet above the highest flood level which may have occurred in a 10-year period, but in no case less than 2 feet above the ground surface. The annular space between the well casing and the suction pipe shall be closed by a sanitary well seal to prevent the entrance of contamination.</w:t>
      </w:r>
    </w:p>
    <w:p w:rsidR="00144D7C" w:rsidRPr="00144D7C" w:rsidRDefault="00144D7C" w:rsidP="00144D7C">
      <w:pPr>
        <w:rPr>
          <w:b/>
        </w:rPr>
      </w:pPr>
      <w:bookmarkStart w:id="7" w:name="_Toc262023690"/>
      <w:bookmarkStart w:id="8" w:name="_Toc342372871"/>
      <w:r w:rsidRPr="00144D7C">
        <w:rPr>
          <w:b/>
        </w:rPr>
        <w:t>§355.</w:t>
      </w:r>
      <w:r w:rsidRPr="00144D7C">
        <w:rPr>
          <w:b/>
        </w:rPr>
        <w:tab/>
        <w:t xml:space="preserve">Mandatory </w:t>
      </w:r>
      <w:proofErr w:type="gramStart"/>
      <w:r w:rsidRPr="00144D7C">
        <w:rPr>
          <w:b/>
        </w:rPr>
        <w:t>Disinfection</w:t>
      </w:r>
      <w:proofErr w:type="gramEnd"/>
      <w:r w:rsidRPr="00144D7C">
        <w:rPr>
          <w:b/>
        </w:rPr>
        <w:br/>
        <w:t>[formerly paragraph 12:021-1]</w:t>
      </w:r>
      <w:bookmarkEnd w:id="7"/>
      <w:bookmarkEnd w:id="8"/>
    </w:p>
    <w:p w:rsidR="00144D7C" w:rsidRPr="00144D7C" w:rsidRDefault="00144D7C" w:rsidP="00144D7C">
      <w:r w:rsidRPr="00144D7C">
        <w:t>A.</w:t>
      </w:r>
      <w:r w:rsidRPr="00144D7C">
        <w:tab/>
        <w:t xml:space="preserve"> Routine, continuous disinfection is required of all public water systems other than those under §361.A of this Part. </w:t>
      </w:r>
      <w:proofErr w:type="gramStart"/>
      <w:r w:rsidRPr="00144D7C">
        <w:t>Where continuous chlorination methods are used, the following minimum concentration of free chlorine residual shall be provided leaving the plant.</w:t>
      </w:r>
      <w:proofErr w:type="gramEnd"/>
    </w:p>
    <w:tbl>
      <w:tblPr>
        <w:tblW w:w="0" w:type="auto"/>
        <w:jc w:val="center"/>
        <w:tblLayout w:type="fixed"/>
        <w:tblCellMar>
          <w:left w:w="136" w:type="dxa"/>
          <w:right w:w="136" w:type="dxa"/>
        </w:tblCellMar>
        <w:tblLook w:val="0000"/>
      </w:tblPr>
      <w:tblGrid>
        <w:gridCol w:w="1759"/>
        <w:gridCol w:w="2971"/>
      </w:tblGrid>
      <w:tr w:rsidR="00144D7C" w:rsidRPr="00144D7C" w:rsidTr="00317074">
        <w:tblPrEx>
          <w:tblCellMar>
            <w:top w:w="0" w:type="dxa"/>
            <w:bottom w:w="0" w:type="dxa"/>
          </w:tblCellMar>
        </w:tblPrEx>
        <w:trPr>
          <w:cantSplit/>
          <w:jc w:val="center"/>
        </w:trPr>
        <w:tc>
          <w:tcPr>
            <w:tcW w:w="1759" w:type="dxa"/>
            <w:tcBorders>
              <w:top w:val="double" w:sz="7" w:space="0" w:color="000000"/>
              <w:left w:val="double" w:sz="7" w:space="0" w:color="000000"/>
              <w:bottom w:val="single" w:sz="7" w:space="0" w:color="000000"/>
              <w:right w:val="single" w:sz="7" w:space="0" w:color="000000"/>
            </w:tcBorders>
            <w:shd w:val="pct10" w:color="000000" w:fill="FFFFFF"/>
          </w:tcPr>
          <w:p w:rsidR="00144D7C" w:rsidRPr="00144D7C" w:rsidRDefault="00144D7C" w:rsidP="00144D7C">
            <w:pPr>
              <w:rPr>
                <w:b/>
                <w:bCs/>
              </w:rPr>
            </w:pPr>
            <w:r w:rsidRPr="00144D7C">
              <w:rPr>
                <w:b/>
                <w:bCs/>
              </w:rPr>
              <w:t>pH Value</w:t>
            </w:r>
          </w:p>
        </w:tc>
        <w:tc>
          <w:tcPr>
            <w:tcW w:w="2971" w:type="dxa"/>
            <w:tcBorders>
              <w:top w:val="double" w:sz="7" w:space="0" w:color="000000"/>
              <w:left w:val="single" w:sz="7" w:space="0" w:color="000000"/>
              <w:bottom w:val="single" w:sz="7" w:space="0" w:color="000000"/>
              <w:right w:val="double" w:sz="7" w:space="0" w:color="000000"/>
            </w:tcBorders>
            <w:shd w:val="pct10" w:color="000000" w:fill="FFFFFF"/>
          </w:tcPr>
          <w:p w:rsidR="00144D7C" w:rsidRPr="00144D7C" w:rsidRDefault="00144D7C" w:rsidP="00144D7C">
            <w:pPr>
              <w:rPr>
                <w:b/>
                <w:bCs/>
              </w:rPr>
            </w:pPr>
            <w:r w:rsidRPr="00144D7C">
              <w:rPr>
                <w:b/>
                <w:bCs/>
              </w:rPr>
              <w:t>Free Chlorine Residual</w:t>
            </w:r>
          </w:p>
        </w:tc>
      </w:tr>
      <w:tr w:rsidR="00144D7C" w:rsidRPr="00144D7C" w:rsidTr="00317074">
        <w:tblPrEx>
          <w:tblCellMar>
            <w:top w:w="0" w:type="dxa"/>
            <w:bottom w:w="0" w:type="dxa"/>
          </w:tblCellMar>
        </w:tblPrEx>
        <w:trPr>
          <w:cantSplit/>
          <w:jc w:val="center"/>
        </w:trPr>
        <w:tc>
          <w:tcPr>
            <w:tcW w:w="1759" w:type="dxa"/>
            <w:tcBorders>
              <w:top w:val="single" w:sz="7" w:space="0" w:color="000000"/>
              <w:left w:val="double" w:sz="7" w:space="0" w:color="000000"/>
              <w:bottom w:val="single" w:sz="7" w:space="0" w:color="000000"/>
              <w:right w:val="single" w:sz="7" w:space="0" w:color="000000"/>
            </w:tcBorders>
          </w:tcPr>
          <w:p w:rsidR="00144D7C" w:rsidRPr="00144D7C" w:rsidRDefault="00144D7C" w:rsidP="00144D7C">
            <w:r w:rsidRPr="00144D7C">
              <w:t>up to 7.0</w:t>
            </w:r>
          </w:p>
        </w:tc>
        <w:tc>
          <w:tcPr>
            <w:tcW w:w="2971" w:type="dxa"/>
            <w:tcBorders>
              <w:top w:val="single" w:sz="7" w:space="0" w:color="000000"/>
              <w:left w:val="single" w:sz="7" w:space="0" w:color="000000"/>
              <w:bottom w:val="single" w:sz="7" w:space="0" w:color="000000"/>
              <w:right w:val="double" w:sz="7" w:space="0" w:color="000000"/>
            </w:tcBorders>
          </w:tcPr>
          <w:p w:rsidR="00144D7C" w:rsidRPr="00144D7C" w:rsidRDefault="00144D7C" w:rsidP="00144D7C">
            <w:r w:rsidRPr="00144D7C">
              <w:t>0.4 mg/l</w:t>
            </w:r>
          </w:p>
        </w:tc>
      </w:tr>
      <w:tr w:rsidR="00144D7C" w:rsidRPr="00144D7C" w:rsidTr="00317074">
        <w:tblPrEx>
          <w:tblCellMar>
            <w:top w:w="0" w:type="dxa"/>
            <w:bottom w:w="0" w:type="dxa"/>
          </w:tblCellMar>
        </w:tblPrEx>
        <w:trPr>
          <w:cantSplit/>
          <w:jc w:val="center"/>
        </w:trPr>
        <w:tc>
          <w:tcPr>
            <w:tcW w:w="1759" w:type="dxa"/>
            <w:tcBorders>
              <w:top w:val="single" w:sz="7" w:space="0" w:color="000000"/>
              <w:left w:val="double" w:sz="7" w:space="0" w:color="000000"/>
              <w:bottom w:val="single" w:sz="7" w:space="0" w:color="000000"/>
              <w:right w:val="single" w:sz="7" w:space="0" w:color="000000"/>
            </w:tcBorders>
          </w:tcPr>
          <w:p w:rsidR="00144D7C" w:rsidRPr="00144D7C" w:rsidRDefault="00144D7C" w:rsidP="00144D7C">
            <w:r w:rsidRPr="00144D7C">
              <w:t>7.0 to 8.0</w:t>
            </w:r>
          </w:p>
        </w:tc>
        <w:tc>
          <w:tcPr>
            <w:tcW w:w="2971" w:type="dxa"/>
            <w:tcBorders>
              <w:top w:val="single" w:sz="7" w:space="0" w:color="000000"/>
              <w:left w:val="single" w:sz="7" w:space="0" w:color="000000"/>
              <w:bottom w:val="single" w:sz="7" w:space="0" w:color="000000"/>
              <w:right w:val="double" w:sz="7" w:space="0" w:color="000000"/>
            </w:tcBorders>
          </w:tcPr>
          <w:p w:rsidR="00144D7C" w:rsidRPr="00144D7C" w:rsidRDefault="00144D7C" w:rsidP="00144D7C">
            <w:r w:rsidRPr="00144D7C">
              <w:t>0.6 mg/l</w:t>
            </w:r>
          </w:p>
        </w:tc>
      </w:tr>
      <w:tr w:rsidR="00144D7C" w:rsidRPr="00144D7C" w:rsidTr="00317074">
        <w:tblPrEx>
          <w:tblCellMar>
            <w:top w:w="0" w:type="dxa"/>
            <w:bottom w:w="0" w:type="dxa"/>
          </w:tblCellMar>
        </w:tblPrEx>
        <w:trPr>
          <w:cantSplit/>
          <w:jc w:val="center"/>
        </w:trPr>
        <w:tc>
          <w:tcPr>
            <w:tcW w:w="1759" w:type="dxa"/>
            <w:tcBorders>
              <w:top w:val="single" w:sz="7" w:space="0" w:color="000000"/>
              <w:left w:val="double" w:sz="7" w:space="0" w:color="000000"/>
              <w:bottom w:val="single" w:sz="7" w:space="0" w:color="000000"/>
              <w:right w:val="single" w:sz="7" w:space="0" w:color="000000"/>
            </w:tcBorders>
          </w:tcPr>
          <w:p w:rsidR="00144D7C" w:rsidRPr="00144D7C" w:rsidRDefault="00144D7C" w:rsidP="00144D7C">
            <w:r w:rsidRPr="00144D7C">
              <w:t>8.0 to 9.0</w:t>
            </w:r>
          </w:p>
        </w:tc>
        <w:tc>
          <w:tcPr>
            <w:tcW w:w="2971" w:type="dxa"/>
            <w:tcBorders>
              <w:top w:val="single" w:sz="7" w:space="0" w:color="000000"/>
              <w:left w:val="single" w:sz="7" w:space="0" w:color="000000"/>
              <w:bottom w:val="single" w:sz="7" w:space="0" w:color="000000"/>
              <w:right w:val="double" w:sz="7" w:space="0" w:color="000000"/>
            </w:tcBorders>
          </w:tcPr>
          <w:p w:rsidR="00144D7C" w:rsidRPr="00144D7C" w:rsidRDefault="00144D7C" w:rsidP="00144D7C">
            <w:r w:rsidRPr="00144D7C">
              <w:t>0.8 mg/l</w:t>
            </w:r>
          </w:p>
        </w:tc>
      </w:tr>
      <w:tr w:rsidR="00144D7C" w:rsidRPr="00144D7C" w:rsidTr="00317074">
        <w:tblPrEx>
          <w:tblCellMar>
            <w:top w:w="0" w:type="dxa"/>
            <w:bottom w:w="0" w:type="dxa"/>
          </w:tblCellMar>
        </w:tblPrEx>
        <w:trPr>
          <w:cantSplit/>
          <w:jc w:val="center"/>
        </w:trPr>
        <w:tc>
          <w:tcPr>
            <w:tcW w:w="1759" w:type="dxa"/>
            <w:tcBorders>
              <w:top w:val="single" w:sz="7" w:space="0" w:color="000000"/>
              <w:left w:val="double" w:sz="7" w:space="0" w:color="000000"/>
              <w:bottom w:val="double" w:sz="7" w:space="0" w:color="000000"/>
              <w:right w:val="single" w:sz="7" w:space="0" w:color="000000"/>
            </w:tcBorders>
          </w:tcPr>
          <w:p w:rsidR="00144D7C" w:rsidRPr="00144D7C" w:rsidRDefault="00144D7C" w:rsidP="00144D7C">
            <w:r w:rsidRPr="00144D7C">
              <w:t>over 9.0</w:t>
            </w:r>
          </w:p>
        </w:tc>
        <w:tc>
          <w:tcPr>
            <w:tcW w:w="2971" w:type="dxa"/>
            <w:tcBorders>
              <w:top w:val="single" w:sz="7" w:space="0" w:color="000000"/>
              <w:left w:val="single" w:sz="7" w:space="0" w:color="000000"/>
              <w:bottom w:val="double" w:sz="7" w:space="0" w:color="000000"/>
              <w:right w:val="double" w:sz="7" w:space="0" w:color="000000"/>
            </w:tcBorders>
          </w:tcPr>
          <w:p w:rsidR="00144D7C" w:rsidRPr="00144D7C" w:rsidRDefault="00144D7C" w:rsidP="00144D7C">
            <w:r w:rsidRPr="00144D7C">
              <w:t>1.0 mg/l</w:t>
            </w:r>
          </w:p>
        </w:tc>
      </w:tr>
    </w:tbl>
    <w:p w:rsidR="00144D7C" w:rsidRPr="00144D7C" w:rsidRDefault="00144D7C" w:rsidP="00144D7C">
      <w:r w:rsidRPr="00144D7C">
        <w:t>B.</w:t>
      </w:r>
      <w:r w:rsidRPr="00144D7C">
        <w:tab/>
        <w:t xml:space="preserve">All new groundwater systems installed after </w:t>
      </w:r>
      <w:r w:rsidRPr="00144D7C">
        <w:br/>
        <w:t xml:space="preserve">the effective date of these regulations shall provide at least 30 minutes contact time prior to the first customer. It </w:t>
      </w:r>
      <w:r w:rsidRPr="00144D7C">
        <w:br/>
        <w:t xml:space="preserve">is recommended that all existing systems provide the </w:t>
      </w:r>
      <w:r w:rsidRPr="00144D7C">
        <w:br/>
        <w:t xml:space="preserve">30 minutes contact time prior to the first customer. Additions to or extensions of existing systems are exempt from the </w:t>
      </w:r>
      <w:r w:rsidRPr="00144D7C">
        <w:br/>
        <w:t>30 minutes contact time.</w:t>
      </w:r>
    </w:p>
    <w:p w:rsidR="0098545F" w:rsidRDefault="0098545F"/>
    <w:sectPr w:rsidR="0098545F" w:rsidSect="00D742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F012B"/>
    <w:multiLevelType w:val="hybridMultilevel"/>
    <w:tmpl w:val="FECED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characterSpacingControl w:val="doNotCompress"/>
  <w:compat/>
  <w:rsids>
    <w:rsidRoot w:val="0098545F"/>
    <w:rsid w:val="00144D7C"/>
    <w:rsid w:val="00244E04"/>
    <w:rsid w:val="0098545F"/>
    <w:rsid w:val="00D74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1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D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BAM</cp:lastModifiedBy>
  <cp:revision>1</cp:revision>
  <dcterms:created xsi:type="dcterms:W3CDTF">2015-05-29T17:45:00Z</dcterms:created>
  <dcterms:modified xsi:type="dcterms:W3CDTF">2015-05-29T18:12:00Z</dcterms:modified>
</cp:coreProperties>
</file>