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DAF" w:rsidRPr="00BB1B93" w:rsidRDefault="00451DAF" w:rsidP="00451DAF">
      <w:pPr>
        <w:rPr>
          <w:b/>
        </w:rPr>
      </w:pPr>
      <w:r w:rsidRPr="00BB1B93">
        <w:rPr>
          <w:b/>
        </w:rPr>
        <w:t>Homework #2 – Code Familiarity</w:t>
      </w:r>
      <w:r w:rsidRPr="00BB1B93">
        <w:rPr>
          <w:b/>
        </w:rPr>
        <w:tab/>
      </w:r>
      <w:r w:rsidRPr="00BB1B93">
        <w:rPr>
          <w:b/>
        </w:rPr>
        <w:tab/>
      </w:r>
      <w:r w:rsidRPr="00BB1B93">
        <w:rPr>
          <w:b/>
        </w:rPr>
        <w:tab/>
      </w:r>
      <w:r w:rsidRPr="00BB1B93">
        <w:rPr>
          <w:b/>
        </w:rPr>
        <w:tab/>
      </w:r>
      <w:r w:rsidRPr="00BB1B93">
        <w:rPr>
          <w:b/>
        </w:rPr>
        <w:tab/>
        <w:t>CVEN 4359: Dr. Lamanna</w:t>
      </w:r>
    </w:p>
    <w:p w:rsidR="00E97489" w:rsidRDefault="00E97489"/>
    <w:p w:rsidR="00451DAF" w:rsidRDefault="00451DAF"/>
    <w:p w:rsidR="00E97489" w:rsidRDefault="00E97489">
      <w:r>
        <w:t>The purpose of this homework is for you to become more familiar with ACI 318-0</w:t>
      </w:r>
      <w:r w:rsidR="00451DAF">
        <w:t>8</w:t>
      </w:r>
      <w:r>
        <w:t>.</w:t>
      </w:r>
    </w:p>
    <w:p w:rsidR="00E97489" w:rsidRDefault="00E97489"/>
    <w:p w:rsidR="00E97489" w:rsidRDefault="00E97489" w:rsidP="00E97489">
      <w:pPr>
        <w:numPr>
          <w:ilvl w:val="0"/>
          <w:numId w:val="3"/>
        </w:numPr>
        <w:tabs>
          <w:tab w:val="clear" w:pos="360"/>
          <w:tab w:val="num" w:pos="720"/>
        </w:tabs>
        <w:autoSpaceDE w:val="0"/>
        <w:autoSpaceDN w:val="0"/>
        <w:adjustRightInd w:val="0"/>
      </w:pPr>
      <w:r>
        <w:t>Concrete is required for a loading dock slab that will be exposed to moisture in a severe freeze-thaw climate, but not subject to deicers.  A specified compressive strength f</w:t>
      </w:r>
      <w:r w:rsidRPr="00E97489">
        <w:rPr>
          <w:vertAlign w:val="subscript"/>
        </w:rPr>
        <w:t>c</w:t>
      </w:r>
      <w:r>
        <w:t>' of 3000 psi is used for structural design.  Type 1 cement with ¾ in. maximum size normal weight aggregate is specified.</w:t>
      </w:r>
    </w:p>
    <w:p w:rsidR="00E97489" w:rsidRDefault="00E97489" w:rsidP="00E97489">
      <w:pPr>
        <w:autoSpaceDE w:val="0"/>
        <w:autoSpaceDN w:val="0"/>
        <w:adjustRightInd w:val="0"/>
      </w:pPr>
    </w:p>
    <w:p w:rsidR="00E97489" w:rsidRDefault="00E97489" w:rsidP="00E97489">
      <w:pPr>
        <w:numPr>
          <w:ilvl w:val="0"/>
          <w:numId w:val="2"/>
        </w:numPr>
        <w:tabs>
          <w:tab w:val="clear" w:pos="360"/>
          <w:tab w:val="num" w:pos="720"/>
        </w:tabs>
        <w:autoSpaceDE w:val="0"/>
        <w:autoSpaceDN w:val="0"/>
        <w:adjustRightInd w:val="0"/>
        <w:ind w:left="720"/>
      </w:pPr>
      <w:r>
        <w:t>Determine the required minimum strength and maximum w/c ratio for the proposed concrete work to satisfy both design strength and exposure requirements.</w:t>
      </w:r>
    </w:p>
    <w:p w:rsidR="00E97489" w:rsidRDefault="00E97489" w:rsidP="00E97489">
      <w:pPr>
        <w:autoSpaceDE w:val="0"/>
        <w:autoSpaceDN w:val="0"/>
        <w:adjustRightInd w:val="0"/>
        <w:ind w:left="720"/>
      </w:pPr>
    </w:p>
    <w:p w:rsidR="00C16A4A" w:rsidRPr="00C16A4A" w:rsidRDefault="00C16A4A" w:rsidP="00E97489">
      <w:pPr>
        <w:autoSpaceDE w:val="0"/>
        <w:autoSpaceDN w:val="0"/>
        <w:adjustRightInd w:val="0"/>
        <w:ind w:left="720"/>
        <w:rPr>
          <w:b/>
          <w:color w:val="FF0000"/>
        </w:rPr>
      </w:pPr>
      <w:r w:rsidRPr="00C16A4A">
        <w:rPr>
          <w:b/>
          <w:color w:val="FF0000"/>
        </w:rPr>
        <w:t>For concrete exposed to freezing and thawing in a moist condition, Table 4.2.2 requires a maximum water-cementitious materials ratio of 0.45, and a minimum strength f</w:t>
      </w:r>
      <w:r w:rsidRPr="00C16A4A">
        <w:rPr>
          <w:b/>
          <w:color w:val="FF0000"/>
          <w:vertAlign w:val="subscript"/>
        </w:rPr>
        <w:t>c</w:t>
      </w:r>
      <w:r w:rsidRPr="00C16A4A">
        <w:rPr>
          <w:b/>
          <w:color w:val="FF0000"/>
        </w:rPr>
        <w:t>' of 4500 psi.</w:t>
      </w:r>
    </w:p>
    <w:p w:rsidR="00C16A4A" w:rsidRPr="00C16A4A" w:rsidRDefault="00C16A4A" w:rsidP="00E97489">
      <w:pPr>
        <w:autoSpaceDE w:val="0"/>
        <w:autoSpaceDN w:val="0"/>
        <w:adjustRightInd w:val="0"/>
        <w:ind w:left="720"/>
        <w:rPr>
          <w:b/>
          <w:color w:val="FF0000"/>
        </w:rPr>
      </w:pPr>
    </w:p>
    <w:p w:rsidR="00C16A4A" w:rsidRPr="00C16A4A" w:rsidRDefault="00C16A4A" w:rsidP="00E97489">
      <w:pPr>
        <w:autoSpaceDE w:val="0"/>
        <w:autoSpaceDN w:val="0"/>
        <w:adjustRightInd w:val="0"/>
        <w:ind w:left="720"/>
        <w:rPr>
          <w:b/>
          <w:color w:val="FF0000"/>
        </w:rPr>
      </w:pPr>
      <w:r w:rsidRPr="00C16A4A">
        <w:rPr>
          <w:b/>
          <w:color w:val="FF0000"/>
        </w:rPr>
        <w:t>Since the required strength for the exposure conditions is greater than thre required strength for structural design (f</w:t>
      </w:r>
      <w:r w:rsidRPr="00C16A4A">
        <w:rPr>
          <w:b/>
          <w:color w:val="FF0000"/>
          <w:vertAlign w:val="subscript"/>
        </w:rPr>
        <w:t>c</w:t>
      </w:r>
      <w:r w:rsidRPr="00C16A4A">
        <w:rPr>
          <w:b/>
          <w:color w:val="FF0000"/>
        </w:rPr>
        <w:t>' = 3000 psi), the strength for the exposure requirements (f</w:t>
      </w:r>
      <w:r w:rsidRPr="00C16A4A">
        <w:rPr>
          <w:b/>
          <w:color w:val="FF0000"/>
          <w:vertAlign w:val="subscript"/>
        </w:rPr>
        <w:t>c</w:t>
      </w:r>
      <w:r w:rsidRPr="00C16A4A">
        <w:rPr>
          <w:b/>
          <w:color w:val="FF0000"/>
        </w:rPr>
        <w:t>' = 4500 psi) governs.</w:t>
      </w:r>
    </w:p>
    <w:p w:rsidR="00C16A4A" w:rsidRDefault="00C16A4A" w:rsidP="00E97489">
      <w:pPr>
        <w:autoSpaceDE w:val="0"/>
        <w:autoSpaceDN w:val="0"/>
        <w:adjustRightInd w:val="0"/>
        <w:ind w:left="720"/>
      </w:pPr>
    </w:p>
    <w:p w:rsidR="00C16A4A" w:rsidRDefault="00C16A4A" w:rsidP="00E97489">
      <w:pPr>
        <w:autoSpaceDE w:val="0"/>
        <w:autoSpaceDN w:val="0"/>
        <w:adjustRightInd w:val="0"/>
        <w:ind w:left="720"/>
      </w:pPr>
    </w:p>
    <w:p w:rsidR="00E97489" w:rsidRDefault="00E97489" w:rsidP="00E97489">
      <w:pPr>
        <w:numPr>
          <w:ilvl w:val="0"/>
          <w:numId w:val="2"/>
        </w:numPr>
        <w:tabs>
          <w:tab w:val="clear" w:pos="360"/>
          <w:tab w:val="num" w:pos="720"/>
        </w:tabs>
        <w:autoSpaceDE w:val="0"/>
        <w:autoSpaceDN w:val="0"/>
        <w:adjustRightInd w:val="0"/>
        <w:ind w:left="720"/>
      </w:pPr>
      <w:r>
        <w:t>Select a w/c ratio to satisfy the governing required strength found from #1.</w:t>
      </w:r>
    </w:p>
    <w:p w:rsidR="00C16A4A" w:rsidRDefault="00C16A4A" w:rsidP="00C16A4A">
      <w:pPr>
        <w:autoSpaceDE w:val="0"/>
        <w:autoSpaceDN w:val="0"/>
        <w:adjustRightInd w:val="0"/>
        <w:ind w:left="360"/>
      </w:pPr>
    </w:p>
    <w:p w:rsidR="00C16A4A" w:rsidRPr="00C16A4A" w:rsidRDefault="00C16A4A" w:rsidP="00C16A4A">
      <w:pPr>
        <w:autoSpaceDE w:val="0"/>
        <w:autoSpaceDN w:val="0"/>
        <w:adjustRightInd w:val="0"/>
        <w:ind w:left="720"/>
        <w:rPr>
          <w:b/>
          <w:color w:val="FF0000"/>
        </w:rPr>
      </w:pPr>
      <w:r w:rsidRPr="00C16A4A">
        <w:rPr>
          <w:b/>
          <w:color w:val="FF0000"/>
        </w:rPr>
        <w:t>Concrete exposed to freezing and thawing must be air entrained, with air content indicated in Table 4.2.1.  For concrete in a cold climate and exposed to wet freeze-thaw conditions, a target air content of 6% is required for a ¾ in. maximum size aggregate.</w:t>
      </w:r>
    </w:p>
    <w:p w:rsidR="00C16A4A" w:rsidRPr="00C16A4A" w:rsidRDefault="00C16A4A" w:rsidP="00C16A4A">
      <w:pPr>
        <w:autoSpaceDE w:val="0"/>
        <w:autoSpaceDN w:val="0"/>
        <w:adjustRightInd w:val="0"/>
        <w:ind w:left="720"/>
        <w:rPr>
          <w:b/>
          <w:color w:val="FF0000"/>
        </w:rPr>
      </w:pPr>
    </w:p>
    <w:p w:rsidR="00C16A4A" w:rsidRPr="00C16A4A" w:rsidRDefault="00C16A4A" w:rsidP="00C16A4A">
      <w:pPr>
        <w:autoSpaceDE w:val="0"/>
        <w:autoSpaceDN w:val="0"/>
        <w:adjustRightInd w:val="0"/>
        <w:ind w:left="720"/>
        <w:rPr>
          <w:b/>
          <w:color w:val="FF0000"/>
        </w:rPr>
      </w:pPr>
      <w:r w:rsidRPr="00C16A4A">
        <w:rPr>
          <w:b/>
          <w:color w:val="FF0000"/>
        </w:rPr>
        <w:t>Selection of water-cementitious materials ratio for required strength should be based on trial mixtures or field data made with actual job materials, to determine the relationship between w/c ratio and strength.</w:t>
      </w:r>
    </w:p>
    <w:p w:rsidR="00C16A4A" w:rsidRPr="00C16A4A" w:rsidRDefault="00C16A4A" w:rsidP="00C16A4A">
      <w:pPr>
        <w:autoSpaceDE w:val="0"/>
        <w:autoSpaceDN w:val="0"/>
        <w:adjustRightInd w:val="0"/>
        <w:ind w:left="720"/>
        <w:rPr>
          <w:b/>
          <w:color w:val="FF0000"/>
        </w:rPr>
      </w:pPr>
    </w:p>
    <w:p w:rsidR="00C16A4A" w:rsidRPr="00C16A4A" w:rsidRDefault="00C16A4A" w:rsidP="00C16A4A">
      <w:pPr>
        <w:autoSpaceDE w:val="0"/>
        <w:autoSpaceDN w:val="0"/>
        <w:adjustRightInd w:val="0"/>
        <w:ind w:left="720"/>
        <w:rPr>
          <w:b/>
          <w:color w:val="FF0000"/>
        </w:rPr>
      </w:pPr>
      <w:r w:rsidRPr="00C16A4A">
        <w:rPr>
          <w:b/>
          <w:color w:val="FF0000"/>
        </w:rPr>
        <w:t>From other sources, a w/c ratio of 0.43 should suffice.</w:t>
      </w:r>
    </w:p>
    <w:p w:rsidR="00E97489" w:rsidRPr="00C16A4A" w:rsidRDefault="00E97489" w:rsidP="00E97489">
      <w:pPr>
        <w:autoSpaceDE w:val="0"/>
        <w:autoSpaceDN w:val="0"/>
        <w:adjustRightInd w:val="0"/>
        <w:rPr>
          <w:b/>
          <w:color w:val="FF0000"/>
        </w:rPr>
      </w:pPr>
    </w:p>
    <w:p w:rsidR="00E97489" w:rsidRDefault="00E97489" w:rsidP="00E97489">
      <w:pPr>
        <w:numPr>
          <w:ilvl w:val="0"/>
          <w:numId w:val="3"/>
        </w:numPr>
        <w:autoSpaceDE w:val="0"/>
        <w:autoSpaceDN w:val="0"/>
        <w:adjustRightInd w:val="0"/>
      </w:pPr>
      <w:r>
        <w:t>The following table lists strength test data from 5 trucks loads (batches) of concrete delivered to the job site.  For each batch, two cylinders were cast and tested at 28 days.  The specified strength of the concrete f</w:t>
      </w:r>
      <w:r w:rsidRPr="00E97489">
        <w:rPr>
          <w:vertAlign w:val="subscript"/>
        </w:rPr>
        <w:t>c</w:t>
      </w:r>
      <w:r>
        <w:t>' is 4000 psi.  Determine the acceptability of the concrete based on the strength criteria of 5.6.3.3.</w:t>
      </w:r>
    </w:p>
    <w:tbl>
      <w:tblPr>
        <w:tblStyle w:val="TableGrid"/>
        <w:tblW w:w="0" w:type="auto"/>
        <w:jc w:val="center"/>
        <w:tblLook w:val="01E0"/>
      </w:tblPr>
      <w:tblGrid>
        <w:gridCol w:w="1043"/>
        <w:gridCol w:w="1356"/>
        <w:gridCol w:w="1356"/>
        <w:gridCol w:w="1503"/>
        <w:gridCol w:w="2035"/>
      </w:tblGrid>
      <w:tr w:rsidR="00EF6B96">
        <w:trPr>
          <w:jc w:val="center"/>
        </w:trPr>
        <w:tc>
          <w:tcPr>
            <w:tcW w:w="0" w:type="auto"/>
            <w:tcBorders>
              <w:bottom w:val="double" w:sz="4" w:space="0" w:color="auto"/>
            </w:tcBorders>
            <w:vAlign w:val="center"/>
          </w:tcPr>
          <w:p w:rsidR="00EF6B96" w:rsidRDefault="00EF6B96" w:rsidP="00551259">
            <w:pPr>
              <w:autoSpaceDE w:val="0"/>
              <w:autoSpaceDN w:val="0"/>
              <w:adjustRightInd w:val="0"/>
              <w:jc w:val="center"/>
            </w:pPr>
            <w:r>
              <w:t>Test No.</w:t>
            </w:r>
          </w:p>
        </w:tc>
        <w:tc>
          <w:tcPr>
            <w:tcW w:w="0" w:type="auto"/>
            <w:tcBorders>
              <w:bottom w:val="double" w:sz="4" w:space="0" w:color="auto"/>
            </w:tcBorders>
            <w:vAlign w:val="center"/>
          </w:tcPr>
          <w:p w:rsidR="00EF6B96" w:rsidRDefault="00EF6B96" w:rsidP="00EF6B96">
            <w:pPr>
              <w:autoSpaceDE w:val="0"/>
              <w:autoSpaceDN w:val="0"/>
              <w:adjustRightInd w:val="0"/>
              <w:jc w:val="center"/>
            </w:pPr>
            <w:r>
              <w:t>Cylinder #1</w:t>
            </w:r>
          </w:p>
        </w:tc>
        <w:tc>
          <w:tcPr>
            <w:tcW w:w="0" w:type="auto"/>
            <w:tcBorders>
              <w:bottom w:val="double" w:sz="4" w:space="0" w:color="auto"/>
            </w:tcBorders>
            <w:vAlign w:val="center"/>
          </w:tcPr>
          <w:p w:rsidR="00EF6B96" w:rsidRDefault="00EF6B96" w:rsidP="00EF6B96">
            <w:pPr>
              <w:autoSpaceDE w:val="0"/>
              <w:autoSpaceDN w:val="0"/>
              <w:adjustRightInd w:val="0"/>
              <w:jc w:val="center"/>
            </w:pPr>
            <w:r>
              <w:t>Cylinder #2</w:t>
            </w:r>
          </w:p>
        </w:tc>
        <w:tc>
          <w:tcPr>
            <w:tcW w:w="0" w:type="auto"/>
            <w:tcBorders>
              <w:bottom w:val="double" w:sz="4" w:space="0" w:color="auto"/>
            </w:tcBorders>
            <w:vAlign w:val="center"/>
          </w:tcPr>
          <w:p w:rsidR="00EF6B96" w:rsidRDefault="00EF6B96" w:rsidP="00EF6B96">
            <w:pPr>
              <w:autoSpaceDE w:val="0"/>
              <w:autoSpaceDN w:val="0"/>
              <w:adjustRightInd w:val="0"/>
              <w:jc w:val="center"/>
            </w:pPr>
            <w:r>
              <w:t>Test Average</w:t>
            </w:r>
          </w:p>
        </w:tc>
        <w:tc>
          <w:tcPr>
            <w:tcW w:w="2035" w:type="dxa"/>
            <w:tcBorders>
              <w:bottom w:val="double" w:sz="4" w:space="0" w:color="auto"/>
            </w:tcBorders>
            <w:vAlign w:val="center"/>
          </w:tcPr>
          <w:p w:rsidR="00EF6B96" w:rsidRDefault="00EF6B96" w:rsidP="00EF6B96">
            <w:pPr>
              <w:autoSpaceDE w:val="0"/>
              <w:autoSpaceDN w:val="0"/>
              <w:adjustRightInd w:val="0"/>
              <w:jc w:val="center"/>
            </w:pPr>
            <w:r>
              <w:t>Average of 3 Consecutive Tests</w:t>
            </w:r>
          </w:p>
        </w:tc>
      </w:tr>
      <w:tr w:rsidR="00EF6B96">
        <w:trPr>
          <w:jc w:val="center"/>
        </w:trPr>
        <w:tc>
          <w:tcPr>
            <w:tcW w:w="0" w:type="auto"/>
            <w:tcBorders>
              <w:top w:val="double" w:sz="4" w:space="0" w:color="auto"/>
            </w:tcBorders>
            <w:vAlign w:val="center"/>
          </w:tcPr>
          <w:p w:rsidR="00EF6B96" w:rsidRDefault="00EF6B96" w:rsidP="00EF6B96">
            <w:pPr>
              <w:autoSpaceDE w:val="0"/>
              <w:autoSpaceDN w:val="0"/>
              <w:adjustRightInd w:val="0"/>
              <w:jc w:val="center"/>
            </w:pPr>
            <w:r>
              <w:t>1</w:t>
            </w:r>
          </w:p>
        </w:tc>
        <w:tc>
          <w:tcPr>
            <w:tcW w:w="0" w:type="auto"/>
            <w:tcBorders>
              <w:top w:val="double" w:sz="4" w:space="0" w:color="auto"/>
            </w:tcBorders>
            <w:vAlign w:val="center"/>
          </w:tcPr>
          <w:p w:rsidR="00EF6B96" w:rsidRDefault="00EF6B96" w:rsidP="00EF6B96">
            <w:pPr>
              <w:autoSpaceDE w:val="0"/>
              <w:autoSpaceDN w:val="0"/>
              <w:adjustRightInd w:val="0"/>
              <w:jc w:val="center"/>
            </w:pPr>
            <w:r>
              <w:t>4110</w:t>
            </w:r>
          </w:p>
        </w:tc>
        <w:tc>
          <w:tcPr>
            <w:tcW w:w="0" w:type="auto"/>
            <w:tcBorders>
              <w:top w:val="double" w:sz="4" w:space="0" w:color="auto"/>
            </w:tcBorders>
            <w:vAlign w:val="center"/>
          </w:tcPr>
          <w:p w:rsidR="00EF6B96" w:rsidRDefault="00EF6B96" w:rsidP="00EF6B96">
            <w:pPr>
              <w:autoSpaceDE w:val="0"/>
              <w:autoSpaceDN w:val="0"/>
              <w:adjustRightInd w:val="0"/>
              <w:jc w:val="center"/>
            </w:pPr>
            <w:r>
              <w:t>4260</w:t>
            </w:r>
          </w:p>
        </w:tc>
        <w:tc>
          <w:tcPr>
            <w:tcW w:w="0" w:type="auto"/>
            <w:tcBorders>
              <w:top w:val="double" w:sz="4" w:space="0" w:color="auto"/>
            </w:tcBorders>
            <w:vAlign w:val="center"/>
          </w:tcPr>
          <w:p w:rsidR="00EF6B96" w:rsidRDefault="00EF6B96" w:rsidP="00EF6B96">
            <w:pPr>
              <w:autoSpaceDE w:val="0"/>
              <w:autoSpaceDN w:val="0"/>
              <w:adjustRightInd w:val="0"/>
              <w:jc w:val="center"/>
            </w:pPr>
            <w:r>
              <w:t>4185</w:t>
            </w:r>
          </w:p>
        </w:tc>
        <w:tc>
          <w:tcPr>
            <w:tcW w:w="2035" w:type="dxa"/>
            <w:tcBorders>
              <w:top w:val="double" w:sz="4" w:space="0" w:color="auto"/>
            </w:tcBorders>
            <w:vAlign w:val="center"/>
          </w:tcPr>
          <w:p w:rsidR="00EF6B96" w:rsidRDefault="00EF6B96" w:rsidP="00EF6B96">
            <w:pPr>
              <w:autoSpaceDE w:val="0"/>
              <w:autoSpaceDN w:val="0"/>
              <w:adjustRightInd w:val="0"/>
              <w:jc w:val="center"/>
            </w:pPr>
            <w:r>
              <w:t>-</w:t>
            </w:r>
          </w:p>
        </w:tc>
      </w:tr>
      <w:tr w:rsidR="00EF6B96">
        <w:trPr>
          <w:jc w:val="center"/>
        </w:trPr>
        <w:tc>
          <w:tcPr>
            <w:tcW w:w="0" w:type="auto"/>
            <w:vAlign w:val="center"/>
          </w:tcPr>
          <w:p w:rsidR="00EF6B96" w:rsidRDefault="00EF6B96" w:rsidP="00EF6B96">
            <w:pPr>
              <w:autoSpaceDE w:val="0"/>
              <w:autoSpaceDN w:val="0"/>
              <w:adjustRightInd w:val="0"/>
              <w:jc w:val="center"/>
            </w:pPr>
            <w:r>
              <w:t>2</w:t>
            </w:r>
          </w:p>
        </w:tc>
        <w:tc>
          <w:tcPr>
            <w:tcW w:w="0" w:type="auto"/>
            <w:vAlign w:val="center"/>
          </w:tcPr>
          <w:p w:rsidR="00EF6B96" w:rsidRDefault="00EF6B96" w:rsidP="00EF6B96">
            <w:pPr>
              <w:autoSpaceDE w:val="0"/>
              <w:autoSpaceDN w:val="0"/>
              <w:adjustRightInd w:val="0"/>
              <w:jc w:val="center"/>
            </w:pPr>
            <w:r>
              <w:t>3840</w:t>
            </w:r>
          </w:p>
        </w:tc>
        <w:tc>
          <w:tcPr>
            <w:tcW w:w="0" w:type="auto"/>
            <w:vAlign w:val="center"/>
          </w:tcPr>
          <w:p w:rsidR="00EF6B96" w:rsidRDefault="00EF6B96" w:rsidP="00EF6B96">
            <w:pPr>
              <w:autoSpaceDE w:val="0"/>
              <w:autoSpaceDN w:val="0"/>
              <w:adjustRightInd w:val="0"/>
              <w:jc w:val="center"/>
            </w:pPr>
            <w:r>
              <w:t>4080</w:t>
            </w:r>
          </w:p>
        </w:tc>
        <w:tc>
          <w:tcPr>
            <w:tcW w:w="0" w:type="auto"/>
            <w:vAlign w:val="center"/>
          </w:tcPr>
          <w:p w:rsidR="00EF6B96" w:rsidRDefault="00EF6B96" w:rsidP="00EF6B96">
            <w:pPr>
              <w:autoSpaceDE w:val="0"/>
              <w:autoSpaceDN w:val="0"/>
              <w:adjustRightInd w:val="0"/>
              <w:jc w:val="center"/>
            </w:pPr>
            <w:r>
              <w:t>3960</w:t>
            </w:r>
          </w:p>
        </w:tc>
        <w:tc>
          <w:tcPr>
            <w:tcW w:w="2035" w:type="dxa"/>
            <w:vAlign w:val="center"/>
          </w:tcPr>
          <w:p w:rsidR="00EF6B96" w:rsidRDefault="00EF6B96" w:rsidP="00EF6B96">
            <w:pPr>
              <w:autoSpaceDE w:val="0"/>
              <w:autoSpaceDN w:val="0"/>
              <w:adjustRightInd w:val="0"/>
              <w:jc w:val="center"/>
            </w:pPr>
            <w:r>
              <w:t>-</w:t>
            </w:r>
          </w:p>
        </w:tc>
      </w:tr>
      <w:tr w:rsidR="00EF6B96">
        <w:trPr>
          <w:jc w:val="center"/>
        </w:trPr>
        <w:tc>
          <w:tcPr>
            <w:tcW w:w="0" w:type="auto"/>
            <w:vAlign w:val="center"/>
          </w:tcPr>
          <w:p w:rsidR="00EF6B96" w:rsidRDefault="00EF6B96" w:rsidP="00EF6B96">
            <w:pPr>
              <w:autoSpaceDE w:val="0"/>
              <w:autoSpaceDN w:val="0"/>
              <w:adjustRightInd w:val="0"/>
              <w:jc w:val="center"/>
            </w:pPr>
            <w:r>
              <w:t>3</w:t>
            </w:r>
          </w:p>
        </w:tc>
        <w:tc>
          <w:tcPr>
            <w:tcW w:w="0" w:type="auto"/>
            <w:vAlign w:val="center"/>
          </w:tcPr>
          <w:p w:rsidR="00EF6B96" w:rsidRDefault="00EF6B96" w:rsidP="00EF6B96">
            <w:pPr>
              <w:autoSpaceDE w:val="0"/>
              <w:autoSpaceDN w:val="0"/>
              <w:adjustRightInd w:val="0"/>
              <w:jc w:val="center"/>
            </w:pPr>
            <w:r>
              <w:t>4420</w:t>
            </w:r>
          </w:p>
        </w:tc>
        <w:tc>
          <w:tcPr>
            <w:tcW w:w="0" w:type="auto"/>
            <w:vAlign w:val="center"/>
          </w:tcPr>
          <w:p w:rsidR="00EF6B96" w:rsidRDefault="00EF6B96" w:rsidP="00EF6B96">
            <w:pPr>
              <w:autoSpaceDE w:val="0"/>
              <w:autoSpaceDN w:val="0"/>
              <w:adjustRightInd w:val="0"/>
              <w:jc w:val="center"/>
            </w:pPr>
            <w:r>
              <w:t>4450</w:t>
            </w:r>
          </w:p>
        </w:tc>
        <w:tc>
          <w:tcPr>
            <w:tcW w:w="0" w:type="auto"/>
            <w:vAlign w:val="center"/>
          </w:tcPr>
          <w:p w:rsidR="00EF6B96" w:rsidRDefault="00EF6B96" w:rsidP="00EF6B96">
            <w:pPr>
              <w:autoSpaceDE w:val="0"/>
              <w:autoSpaceDN w:val="0"/>
              <w:adjustRightInd w:val="0"/>
              <w:jc w:val="center"/>
            </w:pPr>
            <w:r>
              <w:t>4435</w:t>
            </w:r>
          </w:p>
        </w:tc>
        <w:tc>
          <w:tcPr>
            <w:tcW w:w="2035" w:type="dxa"/>
            <w:vAlign w:val="center"/>
          </w:tcPr>
          <w:p w:rsidR="00EF6B96" w:rsidRDefault="00EF6B96" w:rsidP="00EF6B96">
            <w:pPr>
              <w:autoSpaceDE w:val="0"/>
              <w:autoSpaceDN w:val="0"/>
              <w:adjustRightInd w:val="0"/>
              <w:jc w:val="center"/>
            </w:pPr>
            <w:r>
              <w:t>4193</w:t>
            </w:r>
          </w:p>
        </w:tc>
      </w:tr>
      <w:tr w:rsidR="00EF6B96">
        <w:trPr>
          <w:jc w:val="center"/>
        </w:trPr>
        <w:tc>
          <w:tcPr>
            <w:tcW w:w="0" w:type="auto"/>
            <w:vAlign w:val="center"/>
          </w:tcPr>
          <w:p w:rsidR="00EF6B96" w:rsidRDefault="00EF6B96" w:rsidP="00EF6B96">
            <w:pPr>
              <w:autoSpaceDE w:val="0"/>
              <w:autoSpaceDN w:val="0"/>
              <w:adjustRightInd w:val="0"/>
              <w:jc w:val="center"/>
            </w:pPr>
            <w:r>
              <w:t>4</w:t>
            </w:r>
          </w:p>
        </w:tc>
        <w:tc>
          <w:tcPr>
            <w:tcW w:w="0" w:type="auto"/>
            <w:vAlign w:val="center"/>
          </w:tcPr>
          <w:p w:rsidR="00EF6B96" w:rsidRDefault="00EF6B96" w:rsidP="00EF6B96">
            <w:pPr>
              <w:autoSpaceDE w:val="0"/>
              <w:autoSpaceDN w:val="0"/>
              <w:adjustRightInd w:val="0"/>
              <w:jc w:val="center"/>
            </w:pPr>
            <w:r>
              <w:t>3670</w:t>
            </w:r>
          </w:p>
        </w:tc>
        <w:tc>
          <w:tcPr>
            <w:tcW w:w="0" w:type="auto"/>
            <w:vAlign w:val="center"/>
          </w:tcPr>
          <w:p w:rsidR="00EF6B96" w:rsidRDefault="00EF6B96" w:rsidP="00EF6B96">
            <w:pPr>
              <w:autoSpaceDE w:val="0"/>
              <w:autoSpaceDN w:val="0"/>
              <w:adjustRightInd w:val="0"/>
              <w:jc w:val="center"/>
            </w:pPr>
            <w:r>
              <w:t>3820</w:t>
            </w:r>
          </w:p>
        </w:tc>
        <w:tc>
          <w:tcPr>
            <w:tcW w:w="0" w:type="auto"/>
            <w:vAlign w:val="center"/>
          </w:tcPr>
          <w:p w:rsidR="00EF6B96" w:rsidRDefault="00EF6B96" w:rsidP="00EF6B96">
            <w:pPr>
              <w:autoSpaceDE w:val="0"/>
              <w:autoSpaceDN w:val="0"/>
              <w:adjustRightInd w:val="0"/>
              <w:jc w:val="center"/>
            </w:pPr>
            <w:r>
              <w:t>3745</w:t>
            </w:r>
          </w:p>
        </w:tc>
        <w:tc>
          <w:tcPr>
            <w:tcW w:w="2035" w:type="dxa"/>
            <w:vAlign w:val="center"/>
          </w:tcPr>
          <w:p w:rsidR="00EF6B96" w:rsidRDefault="00EF6B96" w:rsidP="00EF6B96">
            <w:pPr>
              <w:autoSpaceDE w:val="0"/>
              <w:autoSpaceDN w:val="0"/>
              <w:adjustRightInd w:val="0"/>
              <w:jc w:val="center"/>
            </w:pPr>
            <w:r>
              <w:t>4047</w:t>
            </w:r>
          </w:p>
        </w:tc>
      </w:tr>
      <w:tr w:rsidR="00EF6B96">
        <w:trPr>
          <w:jc w:val="center"/>
        </w:trPr>
        <w:tc>
          <w:tcPr>
            <w:tcW w:w="0" w:type="auto"/>
            <w:vAlign w:val="center"/>
          </w:tcPr>
          <w:p w:rsidR="00EF6B96" w:rsidRDefault="00EF6B96" w:rsidP="00EF6B96">
            <w:pPr>
              <w:autoSpaceDE w:val="0"/>
              <w:autoSpaceDN w:val="0"/>
              <w:adjustRightInd w:val="0"/>
              <w:jc w:val="center"/>
            </w:pPr>
            <w:r>
              <w:t>5</w:t>
            </w:r>
          </w:p>
        </w:tc>
        <w:tc>
          <w:tcPr>
            <w:tcW w:w="0" w:type="auto"/>
            <w:vAlign w:val="center"/>
          </w:tcPr>
          <w:p w:rsidR="00EF6B96" w:rsidRDefault="00EF6B96" w:rsidP="00EF6B96">
            <w:pPr>
              <w:autoSpaceDE w:val="0"/>
              <w:autoSpaceDN w:val="0"/>
              <w:adjustRightInd w:val="0"/>
              <w:jc w:val="center"/>
            </w:pPr>
            <w:r>
              <w:t>4620</w:t>
            </w:r>
          </w:p>
        </w:tc>
        <w:tc>
          <w:tcPr>
            <w:tcW w:w="0" w:type="auto"/>
            <w:vAlign w:val="center"/>
          </w:tcPr>
          <w:p w:rsidR="00EF6B96" w:rsidRDefault="00EF6B96" w:rsidP="00EF6B96">
            <w:pPr>
              <w:autoSpaceDE w:val="0"/>
              <w:autoSpaceDN w:val="0"/>
              <w:adjustRightInd w:val="0"/>
              <w:jc w:val="center"/>
            </w:pPr>
            <w:r>
              <w:t>4570</w:t>
            </w:r>
          </w:p>
        </w:tc>
        <w:tc>
          <w:tcPr>
            <w:tcW w:w="0" w:type="auto"/>
            <w:vAlign w:val="center"/>
          </w:tcPr>
          <w:p w:rsidR="00EF6B96" w:rsidRDefault="00EF6B96" w:rsidP="00EF6B96">
            <w:pPr>
              <w:autoSpaceDE w:val="0"/>
              <w:autoSpaceDN w:val="0"/>
              <w:adjustRightInd w:val="0"/>
              <w:jc w:val="center"/>
            </w:pPr>
            <w:r>
              <w:t>4595</w:t>
            </w:r>
          </w:p>
        </w:tc>
        <w:tc>
          <w:tcPr>
            <w:tcW w:w="2035" w:type="dxa"/>
            <w:vAlign w:val="center"/>
          </w:tcPr>
          <w:p w:rsidR="00EF6B96" w:rsidRDefault="00EF6B96" w:rsidP="00EF6B96">
            <w:pPr>
              <w:autoSpaceDE w:val="0"/>
              <w:autoSpaceDN w:val="0"/>
              <w:adjustRightInd w:val="0"/>
              <w:jc w:val="center"/>
            </w:pPr>
            <w:r>
              <w:t>4258</w:t>
            </w:r>
          </w:p>
        </w:tc>
      </w:tr>
    </w:tbl>
    <w:p w:rsidR="00E97489" w:rsidRDefault="00E97489" w:rsidP="00E97489">
      <w:pPr>
        <w:autoSpaceDE w:val="0"/>
        <w:autoSpaceDN w:val="0"/>
        <w:adjustRightInd w:val="0"/>
      </w:pPr>
    </w:p>
    <w:p w:rsidR="00C16A4A" w:rsidRDefault="00C16A4A" w:rsidP="00E97489">
      <w:pPr>
        <w:autoSpaceDE w:val="0"/>
        <w:autoSpaceDN w:val="0"/>
        <w:adjustRightInd w:val="0"/>
      </w:pPr>
    </w:p>
    <w:p w:rsidR="00C16A4A" w:rsidRPr="00FE03C1" w:rsidRDefault="00C16A4A" w:rsidP="00E97489">
      <w:pPr>
        <w:autoSpaceDE w:val="0"/>
        <w:autoSpaceDN w:val="0"/>
        <w:adjustRightInd w:val="0"/>
        <w:rPr>
          <w:b/>
          <w:color w:val="FF0000"/>
        </w:rPr>
      </w:pPr>
      <w:r w:rsidRPr="00FE03C1">
        <w:rPr>
          <w:b/>
          <w:color w:val="FF0000"/>
        </w:rPr>
        <w:t>The average of two cylinder breaks from each batch represents a single strength test result.  Even though the lowest of the five strength test results (3745 psi) is below the specified strength of 4000 psi, the concrete is considered acceptable because it is not below the specified value by more than 500 psi for concrete with an f</w:t>
      </w:r>
      <w:r w:rsidRPr="00FE03C1">
        <w:rPr>
          <w:b/>
          <w:color w:val="FF0000"/>
          <w:vertAlign w:val="subscript"/>
        </w:rPr>
        <w:t>c</w:t>
      </w:r>
      <w:r w:rsidRPr="00FE03C1">
        <w:rPr>
          <w:b/>
          <w:color w:val="FF0000"/>
        </w:rPr>
        <w:t>' not over 5000 psi; i.e. not below 3500 psi.  The second acceptance criterion, based on the average of three consecutive tests, is also satisfied by the three consecutive strength test averages shown.  The procedure to evaluate acceptance based on three</w:t>
      </w:r>
      <w:r w:rsidR="00E26C69" w:rsidRPr="00FE03C1">
        <w:rPr>
          <w:b/>
          <w:color w:val="FF0000"/>
        </w:rPr>
        <w:t xml:space="preserve"> strength test results in a row is shown in the right column.</w:t>
      </w:r>
    </w:p>
    <w:p w:rsidR="00551259" w:rsidRPr="00FE03C1" w:rsidRDefault="00551259" w:rsidP="00E97489">
      <w:pPr>
        <w:autoSpaceDE w:val="0"/>
        <w:autoSpaceDN w:val="0"/>
        <w:adjustRightInd w:val="0"/>
        <w:rPr>
          <w:b/>
          <w:color w:val="FF0000"/>
        </w:rPr>
      </w:pPr>
    </w:p>
    <w:p w:rsidR="00C16A4A" w:rsidRDefault="00C16A4A" w:rsidP="00E97489">
      <w:pPr>
        <w:autoSpaceDE w:val="0"/>
        <w:autoSpaceDN w:val="0"/>
        <w:adjustRightInd w:val="0"/>
      </w:pPr>
    </w:p>
    <w:p w:rsidR="00551259" w:rsidRDefault="00551259" w:rsidP="00551259">
      <w:pPr>
        <w:numPr>
          <w:ilvl w:val="0"/>
          <w:numId w:val="3"/>
        </w:numPr>
        <w:autoSpaceDE w:val="0"/>
        <w:autoSpaceDN w:val="0"/>
        <w:adjustRightInd w:val="0"/>
      </w:pPr>
      <w:r>
        <w:t>What are the appendices of ACI 318-0</w:t>
      </w:r>
      <w:r w:rsidR="00584DF9">
        <w:t>8</w:t>
      </w:r>
      <w:r>
        <w:t>?  What does each cover?</w:t>
      </w:r>
    </w:p>
    <w:p w:rsidR="00E97489" w:rsidRDefault="00E97489" w:rsidP="00E97489">
      <w:pPr>
        <w:autoSpaceDE w:val="0"/>
        <w:autoSpaceDN w:val="0"/>
        <w:adjustRightInd w:val="0"/>
      </w:pPr>
    </w:p>
    <w:p w:rsidR="00E97489" w:rsidRPr="00C16A4A" w:rsidRDefault="002C1C7C" w:rsidP="00E97489">
      <w:pPr>
        <w:autoSpaceDE w:val="0"/>
        <w:autoSpaceDN w:val="0"/>
        <w:adjustRightInd w:val="0"/>
        <w:rPr>
          <w:b/>
          <w:color w:val="FF0000"/>
        </w:rPr>
      </w:pPr>
      <w:r w:rsidRPr="00C16A4A">
        <w:rPr>
          <w:b/>
          <w:color w:val="FF0000"/>
        </w:rPr>
        <w:t>Appendix A – Strut and Tie Models</w:t>
      </w:r>
      <w:r w:rsidR="00A41269" w:rsidRPr="00C16A4A">
        <w:rPr>
          <w:b/>
          <w:color w:val="FF0000"/>
        </w:rPr>
        <w:t>: Methods to design edge girders, corbels, deep beams and shear walls.</w:t>
      </w:r>
    </w:p>
    <w:p w:rsidR="002C1C7C" w:rsidRPr="00C16A4A" w:rsidRDefault="002C1C7C" w:rsidP="00E97489">
      <w:pPr>
        <w:autoSpaceDE w:val="0"/>
        <w:autoSpaceDN w:val="0"/>
        <w:adjustRightInd w:val="0"/>
        <w:rPr>
          <w:b/>
          <w:color w:val="FF0000"/>
        </w:rPr>
      </w:pPr>
    </w:p>
    <w:p w:rsidR="002C1C7C" w:rsidRPr="00C16A4A" w:rsidRDefault="002C1C7C" w:rsidP="00E97489">
      <w:pPr>
        <w:autoSpaceDE w:val="0"/>
        <w:autoSpaceDN w:val="0"/>
        <w:adjustRightInd w:val="0"/>
        <w:rPr>
          <w:b/>
          <w:color w:val="FF0000"/>
        </w:rPr>
      </w:pPr>
      <w:r w:rsidRPr="00C16A4A">
        <w:rPr>
          <w:b/>
          <w:color w:val="FF0000"/>
        </w:rPr>
        <w:t>Appendix B – Alternative Provisions for Reinforced and Prestressed Concrete Flexural and Compression Members</w:t>
      </w:r>
    </w:p>
    <w:p w:rsidR="002C1C7C" w:rsidRPr="00C16A4A" w:rsidRDefault="002C1C7C" w:rsidP="00E97489">
      <w:pPr>
        <w:autoSpaceDE w:val="0"/>
        <w:autoSpaceDN w:val="0"/>
        <w:adjustRightInd w:val="0"/>
        <w:rPr>
          <w:b/>
          <w:color w:val="FF0000"/>
        </w:rPr>
      </w:pPr>
    </w:p>
    <w:p w:rsidR="002C1C7C" w:rsidRPr="00C16A4A" w:rsidRDefault="002C1C7C" w:rsidP="00E97489">
      <w:pPr>
        <w:autoSpaceDE w:val="0"/>
        <w:autoSpaceDN w:val="0"/>
        <w:adjustRightInd w:val="0"/>
        <w:rPr>
          <w:b/>
          <w:color w:val="FF0000"/>
        </w:rPr>
      </w:pPr>
      <w:r w:rsidRPr="00C16A4A">
        <w:rPr>
          <w:b/>
          <w:color w:val="FF0000"/>
        </w:rPr>
        <w:t>Appendix C – Alternative Load and Strength Reduction Factors</w:t>
      </w:r>
      <w:r w:rsidR="00A41269" w:rsidRPr="00C16A4A">
        <w:rPr>
          <w:b/>
          <w:color w:val="FF0000"/>
        </w:rPr>
        <w:t>: Old fac</w:t>
      </w:r>
      <w:r w:rsidR="00497A2B" w:rsidRPr="00C16A4A">
        <w:rPr>
          <w:b/>
          <w:color w:val="FF0000"/>
        </w:rPr>
        <w:t>tors used since the early 1960s, still valid.</w:t>
      </w:r>
    </w:p>
    <w:p w:rsidR="002C1C7C" w:rsidRPr="00C16A4A" w:rsidRDefault="002C1C7C" w:rsidP="00E97489">
      <w:pPr>
        <w:autoSpaceDE w:val="0"/>
        <w:autoSpaceDN w:val="0"/>
        <w:adjustRightInd w:val="0"/>
        <w:rPr>
          <w:b/>
          <w:color w:val="FF0000"/>
        </w:rPr>
      </w:pPr>
    </w:p>
    <w:p w:rsidR="002C1C7C" w:rsidRPr="00C16A4A" w:rsidRDefault="002C1C7C" w:rsidP="00E97489">
      <w:pPr>
        <w:autoSpaceDE w:val="0"/>
        <w:autoSpaceDN w:val="0"/>
        <w:adjustRightInd w:val="0"/>
        <w:rPr>
          <w:b/>
          <w:color w:val="FF0000"/>
        </w:rPr>
      </w:pPr>
      <w:r w:rsidRPr="00C16A4A">
        <w:rPr>
          <w:b/>
          <w:color w:val="FF0000"/>
        </w:rPr>
        <w:t>Appendix D – Anchoring to Concrete</w:t>
      </w:r>
      <w:r w:rsidR="008065C1" w:rsidRPr="00C16A4A">
        <w:rPr>
          <w:b/>
          <w:color w:val="FF0000"/>
        </w:rPr>
        <w:t>: Anchors that transmit structural loads</w:t>
      </w:r>
    </w:p>
    <w:p w:rsidR="002C1C7C" w:rsidRPr="00C16A4A" w:rsidRDefault="002C1C7C" w:rsidP="00E97489">
      <w:pPr>
        <w:autoSpaceDE w:val="0"/>
        <w:autoSpaceDN w:val="0"/>
        <w:adjustRightInd w:val="0"/>
        <w:rPr>
          <w:b/>
          <w:color w:val="FF0000"/>
        </w:rPr>
      </w:pPr>
    </w:p>
    <w:p w:rsidR="002C1C7C" w:rsidRPr="00C16A4A" w:rsidRDefault="002C1C7C" w:rsidP="00E97489">
      <w:pPr>
        <w:autoSpaceDE w:val="0"/>
        <w:autoSpaceDN w:val="0"/>
        <w:adjustRightInd w:val="0"/>
        <w:rPr>
          <w:b/>
          <w:color w:val="FF0000"/>
        </w:rPr>
      </w:pPr>
      <w:r w:rsidRPr="00C16A4A">
        <w:rPr>
          <w:b/>
          <w:color w:val="FF0000"/>
        </w:rPr>
        <w:t>Appendix E – Steel Reinforcement Information</w:t>
      </w:r>
      <w:r w:rsidR="00C16A4A" w:rsidRPr="00C16A4A">
        <w:rPr>
          <w:b/>
          <w:color w:val="FF0000"/>
        </w:rPr>
        <w:t>: Aid for designers, sizes, areas, weights, and properties of steel.</w:t>
      </w:r>
    </w:p>
    <w:p w:rsidR="00E97489" w:rsidRDefault="00E97489"/>
    <w:sectPr w:rsidR="00E97489" w:rsidSect="003115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F14A9"/>
    <w:multiLevelType w:val="multilevel"/>
    <w:tmpl w:val="8848B2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39041965"/>
    <w:multiLevelType w:val="hybridMultilevel"/>
    <w:tmpl w:val="40381106"/>
    <w:lvl w:ilvl="0" w:tplc="D5664D62">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46A20E6"/>
    <w:multiLevelType w:val="hybridMultilevel"/>
    <w:tmpl w:val="85E66F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A2C230F"/>
    <w:multiLevelType w:val="hybridMultilevel"/>
    <w:tmpl w:val="264C99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drawingGridHorizontalSpacing w:val="187"/>
  <w:displayVerticalDrawingGridEvery w:val="2"/>
  <w:noPunctuationKerning/>
  <w:characterSpacingControl w:val="doNotCompress"/>
  <w:compat/>
  <w:rsids>
    <w:rsidRoot w:val="003115D2"/>
    <w:rsid w:val="000063D5"/>
    <w:rsid w:val="00013086"/>
    <w:rsid w:val="00021BAC"/>
    <w:rsid w:val="00023D5F"/>
    <w:rsid w:val="00037490"/>
    <w:rsid w:val="00060767"/>
    <w:rsid w:val="000622EA"/>
    <w:rsid w:val="00067A2F"/>
    <w:rsid w:val="00073C8E"/>
    <w:rsid w:val="00080066"/>
    <w:rsid w:val="000803EB"/>
    <w:rsid w:val="00087371"/>
    <w:rsid w:val="000940E8"/>
    <w:rsid w:val="000943B2"/>
    <w:rsid w:val="00095711"/>
    <w:rsid w:val="000A1DFE"/>
    <w:rsid w:val="000A28DD"/>
    <w:rsid w:val="000A3567"/>
    <w:rsid w:val="000A603C"/>
    <w:rsid w:val="000B2DE6"/>
    <w:rsid w:val="000B3399"/>
    <w:rsid w:val="000C1651"/>
    <w:rsid w:val="000C4C51"/>
    <w:rsid w:val="000E5FC2"/>
    <w:rsid w:val="00105085"/>
    <w:rsid w:val="00105696"/>
    <w:rsid w:val="00112EEB"/>
    <w:rsid w:val="00114429"/>
    <w:rsid w:val="001147CA"/>
    <w:rsid w:val="001244FC"/>
    <w:rsid w:val="001265C7"/>
    <w:rsid w:val="001359D2"/>
    <w:rsid w:val="001429BD"/>
    <w:rsid w:val="00143E23"/>
    <w:rsid w:val="001443B7"/>
    <w:rsid w:val="00145190"/>
    <w:rsid w:val="0015465E"/>
    <w:rsid w:val="00161C15"/>
    <w:rsid w:val="00161D0A"/>
    <w:rsid w:val="00170F4A"/>
    <w:rsid w:val="00173E4C"/>
    <w:rsid w:val="00180698"/>
    <w:rsid w:val="00181036"/>
    <w:rsid w:val="00187338"/>
    <w:rsid w:val="00190620"/>
    <w:rsid w:val="0019147A"/>
    <w:rsid w:val="00191887"/>
    <w:rsid w:val="00197DE4"/>
    <w:rsid w:val="001A0B47"/>
    <w:rsid w:val="001A6AB0"/>
    <w:rsid w:val="001A6D9A"/>
    <w:rsid w:val="001B6D3D"/>
    <w:rsid w:val="001C6DE1"/>
    <w:rsid w:val="001D1BC3"/>
    <w:rsid w:val="001D245A"/>
    <w:rsid w:val="001E115F"/>
    <w:rsid w:val="001E1196"/>
    <w:rsid w:val="001E4D2A"/>
    <w:rsid w:val="001E6B50"/>
    <w:rsid w:val="001F2036"/>
    <w:rsid w:val="001F2AB3"/>
    <w:rsid w:val="001F3DF2"/>
    <w:rsid w:val="001F661B"/>
    <w:rsid w:val="002020EC"/>
    <w:rsid w:val="00204C56"/>
    <w:rsid w:val="00205D62"/>
    <w:rsid w:val="00220C3F"/>
    <w:rsid w:val="00222368"/>
    <w:rsid w:val="00224B3F"/>
    <w:rsid w:val="002265F5"/>
    <w:rsid w:val="00236257"/>
    <w:rsid w:val="00237E21"/>
    <w:rsid w:val="00250741"/>
    <w:rsid w:val="002541DE"/>
    <w:rsid w:val="00257E61"/>
    <w:rsid w:val="002672A0"/>
    <w:rsid w:val="00270355"/>
    <w:rsid w:val="00270A24"/>
    <w:rsid w:val="002749CA"/>
    <w:rsid w:val="00276777"/>
    <w:rsid w:val="00286907"/>
    <w:rsid w:val="00296130"/>
    <w:rsid w:val="0029628C"/>
    <w:rsid w:val="002A1A91"/>
    <w:rsid w:val="002A39C8"/>
    <w:rsid w:val="002B018A"/>
    <w:rsid w:val="002B0D7B"/>
    <w:rsid w:val="002B1186"/>
    <w:rsid w:val="002B4636"/>
    <w:rsid w:val="002B5DA7"/>
    <w:rsid w:val="002B6CBC"/>
    <w:rsid w:val="002C0BAD"/>
    <w:rsid w:val="002C155C"/>
    <w:rsid w:val="002C1C7C"/>
    <w:rsid w:val="002C45EA"/>
    <w:rsid w:val="002C6E8F"/>
    <w:rsid w:val="002D1264"/>
    <w:rsid w:val="002D49E1"/>
    <w:rsid w:val="002E0DCD"/>
    <w:rsid w:val="002F32FD"/>
    <w:rsid w:val="002F61F7"/>
    <w:rsid w:val="00310487"/>
    <w:rsid w:val="003115D2"/>
    <w:rsid w:val="003159FD"/>
    <w:rsid w:val="003174B0"/>
    <w:rsid w:val="0032524E"/>
    <w:rsid w:val="003253F6"/>
    <w:rsid w:val="0033168A"/>
    <w:rsid w:val="003366DE"/>
    <w:rsid w:val="0033769C"/>
    <w:rsid w:val="0034290D"/>
    <w:rsid w:val="00344C73"/>
    <w:rsid w:val="00345B37"/>
    <w:rsid w:val="003460C7"/>
    <w:rsid w:val="00356FC4"/>
    <w:rsid w:val="003612DE"/>
    <w:rsid w:val="0036376D"/>
    <w:rsid w:val="00364292"/>
    <w:rsid w:val="0036706A"/>
    <w:rsid w:val="003774F1"/>
    <w:rsid w:val="00386589"/>
    <w:rsid w:val="003949D9"/>
    <w:rsid w:val="003B267B"/>
    <w:rsid w:val="003C4129"/>
    <w:rsid w:val="003C628F"/>
    <w:rsid w:val="003D462A"/>
    <w:rsid w:val="003D54AE"/>
    <w:rsid w:val="003E06C0"/>
    <w:rsid w:val="003E2702"/>
    <w:rsid w:val="003E3FB2"/>
    <w:rsid w:val="003E4FCD"/>
    <w:rsid w:val="004013AA"/>
    <w:rsid w:val="00402199"/>
    <w:rsid w:val="00415020"/>
    <w:rsid w:val="004155C4"/>
    <w:rsid w:val="00424CC8"/>
    <w:rsid w:val="00431DAA"/>
    <w:rsid w:val="004329FC"/>
    <w:rsid w:val="00435A05"/>
    <w:rsid w:val="00451DAF"/>
    <w:rsid w:val="004555F2"/>
    <w:rsid w:val="00461673"/>
    <w:rsid w:val="00466568"/>
    <w:rsid w:val="0046793B"/>
    <w:rsid w:val="00474E24"/>
    <w:rsid w:val="00477C1F"/>
    <w:rsid w:val="00482B64"/>
    <w:rsid w:val="00483249"/>
    <w:rsid w:val="00484930"/>
    <w:rsid w:val="00487CC8"/>
    <w:rsid w:val="00491004"/>
    <w:rsid w:val="00492581"/>
    <w:rsid w:val="00497A2B"/>
    <w:rsid w:val="004B541F"/>
    <w:rsid w:val="004B6ECE"/>
    <w:rsid w:val="004C48B6"/>
    <w:rsid w:val="004C51BC"/>
    <w:rsid w:val="004D02B6"/>
    <w:rsid w:val="004D22E1"/>
    <w:rsid w:val="004E6196"/>
    <w:rsid w:val="004E765E"/>
    <w:rsid w:val="004F0982"/>
    <w:rsid w:val="004F0F74"/>
    <w:rsid w:val="004F1DCE"/>
    <w:rsid w:val="004F3DD6"/>
    <w:rsid w:val="004F5478"/>
    <w:rsid w:val="004F5DCA"/>
    <w:rsid w:val="004F7C11"/>
    <w:rsid w:val="00501954"/>
    <w:rsid w:val="0050697B"/>
    <w:rsid w:val="00510886"/>
    <w:rsid w:val="005125A7"/>
    <w:rsid w:val="005148F4"/>
    <w:rsid w:val="00524CDF"/>
    <w:rsid w:val="00535B94"/>
    <w:rsid w:val="00550CDA"/>
    <w:rsid w:val="00550DF0"/>
    <w:rsid w:val="00551259"/>
    <w:rsid w:val="005526BF"/>
    <w:rsid w:val="00576F2B"/>
    <w:rsid w:val="00582300"/>
    <w:rsid w:val="00584DF9"/>
    <w:rsid w:val="00586757"/>
    <w:rsid w:val="0058742E"/>
    <w:rsid w:val="00590911"/>
    <w:rsid w:val="005A6396"/>
    <w:rsid w:val="005B0107"/>
    <w:rsid w:val="005B3C02"/>
    <w:rsid w:val="005B41C6"/>
    <w:rsid w:val="005C2F4C"/>
    <w:rsid w:val="005C39BC"/>
    <w:rsid w:val="005C67AD"/>
    <w:rsid w:val="005D6E7D"/>
    <w:rsid w:val="005D7632"/>
    <w:rsid w:val="005E033D"/>
    <w:rsid w:val="005E1C1F"/>
    <w:rsid w:val="005E43E0"/>
    <w:rsid w:val="005E48D8"/>
    <w:rsid w:val="005F4B4B"/>
    <w:rsid w:val="00604968"/>
    <w:rsid w:val="00605117"/>
    <w:rsid w:val="00613648"/>
    <w:rsid w:val="006167B9"/>
    <w:rsid w:val="00620491"/>
    <w:rsid w:val="006214AA"/>
    <w:rsid w:val="00622EC5"/>
    <w:rsid w:val="00623D0F"/>
    <w:rsid w:val="00626167"/>
    <w:rsid w:val="00626A7F"/>
    <w:rsid w:val="0063159D"/>
    <w:rsid w:val="00631961"/>
    <w:rsid w:val="006322C0"/>
    <w:rsid w:val="0063601F"/>
    <w:rsid w:val="00641191"/>
    <w:rsid w:val="00643CB7"/>
    <w:rsid w:val="00645C47"/>
    <w:rsid w:val="00650585"/>
    <w:rsid w:val="00660BC4"/>
    <w:rsid w:val="006676A2"/>
    <w:rsid w:val="006743CC"/>
    <w:rsid w:val="00676309"/>
    <w:rsid w:val="00676A29"/>
    <w:rsid w:val="006830FE"/>
    <w:rsid w:val="00685324"/>
    <w:rsid w:val="006876BB"/>
    <w:rsid w:val="00687E0F"/>
    <w:rsid w:val="006909F3"/>
    <w:rsid w:val="0069436A"/>
    <w:rsid w:val="00697511"/>
    <w:rsid w:val="006A0B08"/>
    <w:rsid w:val="006A6A06"/>
    <w:rsid w:val="006B017A"/>
    <w:rsid w:val="006B08F7"/>
    <w:rsid w:val="006B1F20"/>
    <w:rsid w:val="006B4755"/>
    <w:rsid w:val="006C00A4"/>
    <w:rsid w:val="006C2FD0"/>
    <w:rsid w:val="006E5FCB"/>
    <w:rsid w:val="006E6E24"/>
    <w:rsid w:val="006F0D1D"/>
    <w:rsid w:val="006F1185"/>
    <w:rsid w:val="006F13A0"/>
    <w:rsid w:val="006F3BB4"/>
    <w:rsid w:val="006F52C5"/>
    <w:rsid w:val="006F775B"/>
    <w:rsid w:val="00705EC6"/>
    <w:rsid w:val="0070703B"/>
    <w:rsid w:val="00707C44"/>
    <w:rsid w:val="00711958"/>
    <w:rsid w:val="00714234"/>
    <w:rsid w:val="007152B3"/>
    <w:rsid w:val="007209D4"/>
    <w:rsid w:val="00724EAD"/>
    <w:rsid w:val="00725803"/>
    <w:rsid w:val="00732B8E"/>
    <w:rsid w:val="00736A6F"/>
    <w:rsid w:val="0074053E"/>
    <w:rsid w:val="00741C8C"/>
    <w:rsid w:val="00745DB5"/>
    <w:rsid w:val="00745DFE"/>
    <w:rsid w:val="00757815"/>
    <w:rsid w:val="00762538"/>
    <w:rsid w:val="00764596"/>
    <w:rsid w:val="00767B58"/>
    <w:rsid w:val="007700C8"/>
    <w:rsid w:val="007723E4"/>
    <w:rsid w:val="007728EE"/>
    <w:rsid w:val="007732D3"/>
    <w:rsid w:val="007735E2"/>
    <w:rsid w:val="0077485C"/>
    <w:rsid w:val="00780C9B"/>
    <w:rsid w:val="007817A2"/>
    <w:rsid w:val="00784851"/>
    <w:rsid w:val="00793025"/>
    <w:rsid w:val="00796A30"/>
    <w:rsid w:val="007A091D"/>
    <w:rsid w:val="007A1C6B"/>
    <w:rsid w:val="007A7F43"/>
    <w:rsid w:val="007B20FB"/>
    <w:rsid w:val="007B3447"/>
    <w:rsid w:val="007C03E0"/>
    <w:rsid w:val="007C263B"/>
    <w:rsid w:val="007C3F1E"/>
    <w:rsid w:val="007D1162"/>
    <w:rsid w:val="007D71D9"/>
    <w:rsid w:val="007E07B3"/>
    <w:rsid w:val="007E796C"/>
    <w:rsid w:val="007F118F"/>
    <w:rsid w:val="007F3559"/>
    <w:rsid w:val="007F7E42"/>
    <w:rsid w:val="00806408"/>
    <w:rsid w:val="008065C1"/>
    <w:rsid w:val="00815ACF"/>
    <w:rsid w:val="00816DE7"/>
    <w:rsid w:val="00824CC2"/>
    <w:rsid w:val="00831CAB"/>
    <w:rsid w:val="00834B06"/>
    <w:rsid w:val="00834C29"/>
    <w:rsid w:val="0084583D"/>
    <w:rsid w:val="00845C48"/>
    <w:rsid w:val="00853201"/>
    <w:rsid w:val="008532FB"/>
    <w:rsid w:val="00854EDC"/>
    <w:rsid w:val="00855107"/>
    <w:rsid w:val="00857DDA"/>
    <w:rsid w:val="00863D1C"/>
    <w:rsid w:val="008644DA"/>
    <w:rsid w:val="00867650"/>
    <w:rsid w:val="00891C54"/>
    <w:rsid w:val="008941C7"/>
    <w:rsid w:val="008A073D"/>
    <w:rsid w:val="008B4917"/>
    <w:rsid w:val="008B6F0C"/>
    <w:rsid w:val="008C18A4"/>
    <w:rsid w:val="008C593A"/>
    <w:rsid w:val="008D4D44"/>
    <w:rsid w:val="008D58E9"/>
    <w:rsid w:val="008D682C"/>
    <w:rsid w:val="008D7CC1"/>
    <w:rsid w:val="008E0B31"/>
    <w:rsid w:val="008E22A2"/>
    <w:rsid w:val="008F06E6"/>
    <w:rsid w:val="008F3587"/>
    <w:rsid w:val="008F3D71"/>
    <w:rsid w:val="00905BEE"/>
    <w:rsid w:val="00917A8A"/>
    <w:rsid w:val="009209F2"/>
    <w:rsid w:val="00923649"/>
    <w:rsid w:val="00940CE0"/>
    <w:rsid w:val="00941565"/>
    <w:rsid w:val="0094313F"/>
    <w:rsid w:val="009443CF"/>
    <w:rsid w:val="00944582"/>
    <w:rsid w:val="00947171"/>
    <w:rsid w:val="009473AA"/>
    <w:rsid w:val="00953ED7"/>
    <w:rsid w:val="00957A35"/>
    <w:rsid w:val="009605CB"/>
    <w:rsid w:val="00960D12"/>
    <w:rsid w:val="00962159"/>
    <w:rsid w:val="00992922"/>
    <w:rsid w:val="00994063"/>
    <w:rsid w:val="00996F07"/>
    <w:rsid w:val="009A7D75"/>
    <w:rsid w:val="009B3ACE"/>
    <w:rsid w:val="009C048E"/>
    <w:rsid w:val="009C087D"/>
    <w:rsid w:val="009C506D"/>
    <w:rsid w:val="009D0F44"/>
    <w:rsid w:val="009E0EA9"/>
    <w:rsid w:val="009E3C43"/>
    <w:rsid w:val="009F38C5"/>
    <w:rsid w:val="00A00B49"/>
    <w:rsid w:val="00A03E71"/>
    <w:rsid w:val="00A04D35"/>
    <w:rsid w:val="00A255D0"/>
    <w:rsid w:val="00A302DE"/>
    <w:rsid w:val="00A32894"/>
    <w:rsid w:val="00A363A3"/>
    <w:rsid w:val="00A41269"/>
    <w:rsid w:val="00A43286"/>
    <w:rsid w:val="00A50DAE"/>
    <w:rsid w:val="00A51215"/>
    <w:rsid w:val="00A532C9"/>
    <w:rsid w:val="00A54618"/>
    <w:rsid w:val="00A71FC4"/>
    <w:rsid w:val="00A75195"/>
    <w:rsid w:val="00A75B92"/>
    <w:rsid w:val="00A77424"/>
    <w:rsid w:val="00A81DED"/>
    <w:rsid w:val="00A9297F"/>
    <w:rsid w:val="00A954FE"/>
    <w:rsid w:val="00A967FB"/>
    <w:rsid w:val="00AA2252"/>
    <w:rsid w:val="00AB3F0C"/>
    <w:rsid w:val="00AC0AB7"/>
    <w:rsid w:val="00AC13A2"/>
    <w:rsid w:val="00AD57CF"/>
    <w:rsid w:val="00AE0F1F"/>
    <w:rsid w:val="00AE669B"/>
    <w:rsid w:val="00AF471B"/>
    <w:rsid w:val="00AF5743"/>
    <w:rsid w:val="00AF6EFF"/>
    <w:rsid w:val="00AF7DBD"/>
    <w:rsid w:val="00B00A20"/>
    <w:rsid w:val="00B0164B"/>
    <w:rsid w:val="00B02F46"/>
    <w:rsid w:val="00B06AE5"/>
    <w:rsid w:val="00B22AD5"/>
    <w:rsid w:val="00B44B46"/>
    <w:rsid w:val="00B45632"/>
    <w:rsid w:val="00B50D11"/>
    <w:rsid w:val="00B53222"/>
    <w:rsid w:val="00B5575A"/>
    <w:rsid w:val="00B66CA2"/>
    <w:rsid w:val="00B757C1"/>
    <w:rsid w:val="00B83114"/>
    <w:rsid w:val="00B85BE4"/>
    <w:rsid w:val="00BB52B1"/>
    <w:rsid w:val="00BB5B44"/>
    <w:rsid w:val="00BB635E"/>
    <w:rsid w:val="00BC07A1"/>
    <w:rsid w:val="00BC634B"/>
    <w:rsid w:val="00BD100D"/>
    <w:rsid w:val="00BD4060"/>
    <w:rsid w:val="00BD55E8"/>
    <w:rsid w:val="00BE2F22"/>
    <w:rsid w:val="00BE572B"/>
    <w:rsid w:val="00BF1BE1"/>
    <w:rsid w:val="00C06311"/>
    <w:rsid w:val="00C100EE"/>
    <w:rsid w:val="00C16A4A"/>
    <w:rsid w:val="00C24A83"/>
    <w:rsid w:val="00C24CBC"/>
    <w:rsid w:val="00C26A42"/>
    <w:rsid w:val="00C3145C"/>
    <w:rsid w:val="00C345FF"/>
    <w:rsid w:val="00C40CF7"/>
    <w:rsid w:val="00C43195"/>
    <w:rsid w:val="00C46CB6"/>
    <w:rsid w:val="00C510FB"/>
    <w:rsid w:val="00C51123"/>
    <w:rsid w:val="00C5366C"/>
    <w:rsid w:val="00C55BA3"/>
    <w:rsid w:val="00C55ECF"/>
    <w:rsid w:val="00C65ED3"/>
    <w:rsid w:val="00C662F4"/>
    <w:rsid w:val="00C71850"/>
    <w:rsid w:val="00C865B3"/>
    <w:rsid w:val="00C920B2"/>
    <w:rsid w:val="00CA770D"/>
    <w:rsid w:val="00CB3D68"/>
    <w:rsid w:val="00CB51A5"/>
    <w:rsid w:val="00CC154B"/>
    <w:rsid w:val="00CC6E5E"/>
    <w:rsid w:val="00CE2F8E"/>
    <w:rsid w:val="00CE31D8"/>
    <w:rsid w:val="00CE438A"/>
    <w:rsid w:val="00CF3FED"/>
    <w:rsid w:val="00CF5EB6"/>
    <w:rsid w:val="00CF7CFF"/>
    <w:rsid w:val="00D07C93"/>
    <w:rsid w:val="00D146F9"/>
    <w:rsid w:val="00D17398"/>
    <w:rsid w:val="00D34F1B"/>
    <w:rsid w:val="00D3648F"/>
    <w:rsid w:val="00D37F0F"/>
    <w:rsid w:val="00D4209E"/>
    <w:rsid w:val="00D47201"/>
    <w:rsid w:val="00D53523"/>
    <w:rsid w:val="00D62AB8"/>
    <w:rsid w:val="00D62B11"/>
    <w:rsid w:val="00D73497"/>
    <w:rsid w:val="00D92274"/>
    <w:rsid w:val="00DA02F6"/>
    <w:rsid w:val="00DA6312"/>
    <w:rsid w:val="00DB4CCA"/>
    <w:rsid w:val="00DB7AD4"/>
    <w:rsid w:val="00DB7F0D"/>
    <w:rsid w:val="00DC01A7"/>
    <w:rsid w:val="00DC5A18"/>
    <w:rsid w:val="00DD13C6"/>
    <w:rsid w:val="00DE2846"/>
    <w:rsid w:val="00DE3E5A"/>
    <w:rsid w:val="00DE3E9C"/>
    <w:rsid w:val="00DF2310"/>
    <w:rsid w:val="00E02B5B"/>
    <w:rsid w:val="00E0679D"/>
    <w:rsid w:val="00E14B35"/>
    <w:rsid w:val="00E15A89"/>
    <w:rsid w:val="00E15D6F"/>
    <w:rsid w:val="00E1748B"/>
    <w:rsid w:val="00E21508"/>
    <w:rsid w:val="00E26C69"/>
    <w:rsid w:val="00E41206"/>
    <w:rsid w:val="00E4441D"/>
    <w:rsid w:val="00E45729"/>
    <w:rsid w:val="00E513C6"/>
    <w:rsid w:val="00E62EEF"/>
    <w:rsid w:val="00E6423A"/>
    <w:rsid w:val="00E877A9"/>
    <w:rsid w:val="00E96F2A"/>
    <w:rsid w:val="00E97489"/>
    <w:rsid w:val="00EA6B80"/>
    <w:rsid w:val="00EA6BA5"/>
    <w:rsid w:val="00EB0A73"/>
    <w:rsid w:val="00EB11C5"/>
    <w:rsid w:val="00EB17C4"/>
    <w:rsid w:val="00EB1CB2"/>
    <w:rsid w:val="00EB2237"/>
    <w:rsid w:val="00EB666D"/>
    <w:rsid w:val="00ED21A8"/>
    <w:rsid w:val="00ED25E1"/>
    <w:rsid w:val="00EF0D16"/>
    <w:rsid w:val="00EF1971"/>
    <w:rsid w:val="00EF6B96"/>
    <w:rsid w:val="00F05E65"/>
    <w:rsid w:val="00F061EC"/>
    <w:rsid w:val="00F0667F"/>
    <w:rsid w:val="00F146A3"/>
    <w:rsid w:val="00F2407B"/>
    <w:rsid w:val="00F2445B"/>
    <w:rsid w:val="00F25805"/>
    <w:rsid w:val="00F361E3"/>
    <w:rsid w:val="00F455AD"/>
    <w:rsid w:val="00F50D4C"/>
    <w:rsid w:val="00F5170F"/>
    <w:rsid w:val="00F6217A"/>
    <w:rsid w:val="00F62BAF"/>
    <w:rsid w:val="00F70B1E"/>
    <w:rsid w:val="00F71E54"/>
    <w:rsid w:val="00F74DF5"/>
    <w:rsid w:val="00F9075B"/>
    <w:rsid w:val="00F911FE"/>
    <w:rsid w:val="00F9302E"/>
    <w:rsid w:val="00FA0638"/>
    <w:rsid w:val="00FB04AF"/>
    <w:rsid w:val="00FB0FA2"/>
    <w:rsid w:val="00FB484A"/>
    <w:rsid w:val="00FC1599"/>
    <w:rsid w:val="00FD6C27"/>
    <w:rsid w:val="00FE03C1"/>
    <w:rsid w:val="00FF0DB2"/>
    <w:rsid w:val="00FF4679"/>
    <w:rsid w:val="00FF53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A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443B7"/>
    <w:pPr>
      <w:framePr w:w="7920" w:h="1980" w:hRule="exact" w:hSpace="180" w:wrap="auto" w:hAnchor="page" w:xAlign="center" w:yAlign="bottom"/>
      <w:ind w:left="2880"/>
    </w:pPr>
    <w:rPr>
      <w:rFonts w:cs="Arial"/>
    </w:rPr>
  </w:style>
  <w:style w:type="table" w:styleId="TableGrid">
    <w:name w:val="Table Grid"/>
    <w:basedOn w:val="TableNormal"/>
    <w:rsid w:val="00EF6B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1C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Homework #1 – Code Familiarity</vt:lpstr>
    </vt:vector>
  </TitlesOfParts>
  <Company>Tulane University</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#1 – Code Familiarity</dc:title>
  <dc:subject/>
  <dc:creator> </dc:creator>
  <cp:keywords/>
  <dc:description/>
  <cp:lastModifiedBy>Anthony J Lamanna</cp:lastModifiedBy>
  <cp:revision>3</cp:revision>
  <cp:lastPrinted>2006-01-11T17:17:00Z</cp:lastPrinted>
  <dcterms:created xsi:type="dcterms:W3CDTF">2008-09-09T19:22:00Z</dcterms:created>
  <dcterms:modified xsi:type="dcterms:W3CDTF">2010-09-02T14:55:00Z</dcterms:modified>
</cp:coreProperties>
</file>