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T"/>
        <w:spacing w:before="240" w:after="0"/>
        <w:jc w:val="center"/>
        <w:rPr>
          <w:rFonts w:ascii="Trebuchet MS" w:hAnsi="Trebuchet MS"/>
          <w:szCs w:val="22"/>
        </w:rPr>
      </w:pPr>
      <w:r>
        <w:rPr>
          <w:rFonts w:ascii="Trebuchet MS" w:hAnsi="Trebuchet MS"/>
          <w:szCs w:val="22"/>
        </w:rPr>
        <w:t>Copyright 2011 by The American Institute of Architects (AIA)</w:t>
      </w:r>
    </w:p>
    <w:p>
      <w:pPr>
        <w:pStyle w:val="CMT"/>
        <w:jc w:val="center"/>
        <w:rPr>
          <w:rFonts w:ascii="Trebuchet MS" w:hAnsi="Trebuchet MS"/>
          <w:szCs w:val="22"/>
        </w:rPr>
      </w:pPr>
      <w:r>
        <w:rPr>
          <w:rFonts w:ascii="Trebuchet MS" w:hAnsi="Trebuchet MS"/>
          <w:szCs w:val="22"/>
        </w:rPr>
        <w:t>Exclusively published and distributed by Architectural Computer Services, Inc. (ARCOM) for the AIA</w:t>
      </w:r>
    </w:p>
    <w:p>
      <w:pPr>
        <w:pStyle w:val="SCT"/>
        <w:jc w:val="center"/>
        <w:rPr>
          <w:rFonts w:ascii="Trebuchet MS" w:hAnsi="Trebuchet MS"/>
          <w:szCs w:val="22"/>
        </w:rPr>
      </w:pPr>
      <w:r>
        <w:rPr>
          <w:rFonts w:ascii="Trebuchet MS" w:hAnsi="Trebuchet MS"/>
          <w:szCs w:val="22"/>
        </w:rPr>
        <w:t xml:space="preserve">SECTION </w:t>
      </w:r>
      <w:r>
        <w:rPr>
          <w:rStyle w:val="NUM"/>
          <w:rFonts w:ascii="Trebuchet MS" w:hAnsi="Trebuchet MS"/>
          <w:szCs w:val="22"/>
        </w:rPr>
        <w:t>270526</w:t>
      </w:r>
    </w:p>
    <w:p>
      <w:pPr>
        <w:pStyle w:val="SCT"/>
        <w:jc w:val="center"/>
        <w:rPr>
          <w:rFonts w:ascii="Trebuchet MS" w:hAnsi="Trebuchet MS"/>
          <w:szCs w:val="22"/>
        </w:rPr>
      </w:pPr>
      <w:r>
        <w:rPr>
          <w:rStyle w:val="NAM"/>
          <w:rFonts w:ascii="Trebuchet MS" w:hAnsi="Trebuchet MS"/>
          <w:szCs w:val="22"/>
        </w:rPr>
        <w:t>GROUNDING AND BONDING FOR COMMUNICATIONS SYSTEMS</w:t>
      </w:r>
    </w:p>
    <w:p>
      <w:pPr>
        <w:pStyle w:val="CMT"/>
        <w:rPr>
          <w:rFonts w:ascii="Trebuchet MS" w:hAnsi="Trebuchet MS"/>
          <w:szCs w:val="22"/>
        </w:rPr>
      </w:pPr>
      <w:r>
        <w:rPr>
          <w:rFonts w:ascii="Trebuchet MS" w:hAnsi="Trebuchet MS"/>
          <w:szCs w:val="22"/>
        </w:rPr>
        <w:t>Revise this Section by deleting and inserting text to meet Project-specific requirements.</w:t>
      </w:r>
    </w:p>
    <w:p>
      <w:pPr>
        <w:pStyle w:val="CMT"/>
        <w:rPr>
          <w:rFonts w:ascii="Trebuchet MS" w:hAnsi="Trebuchet MS"/>
          <w:szCs w:val="22"/>
        </w:rPr>
      </w:pPr>
      <w:r>
        <w:rPr>
          <w:rFonts w:ascii="Trebuchet MS" w:hAnsi="Trebuchet MS"/>
          <w:szCs w:val="22"/>
        </w:rPr>
        <w:t>This Section uses the term "Architect." Change this term to match that used to identify the design professional as defined in the General and Supplementary Conditions.</w:t>
      </w:r>
    </w:p>
    <w:p>
      <w:pPr>
        <w:pStyle w:val="CMT"/>
        <w:rPr>
          <w:rFonts w:ascii="Trebuchet MS" w:hAnsi="Trebuchet MS"/>
          <w:szCs w:val="22"/>
        </w:rPr>
      </w:pPr>
      <w:r>
        <w:rPr>
          <w:rFonts w:ascii="Trebuchet MS" w:hAnsi="Trebuchet MS"/>
          <w:szCs w:val="22"/>
        </w:rPr>
        <w:t>Verify that Section titles referenced in this Section are correct for this Project's Specifications; Section titles may have changed.</w:t>
      </w:r>
    </w:p>
    <w:p>
      <w:pPr>
        <w:pStyle w:val="PRT"/>
        <w:numPr>
          <w:ilvl w:val="0"/>
          <w:numId w:val="1"/>
        </w:numPr>
        <w:rPr>
          <w:rFonts w:ascii="Trebuchet MS" w:hAnsi="Trebuchet MS"/>
          <w:szCs w:val="22"/>
        </w:rPr>
      </w:pPr>
      <w:r>
        <w:rPr>
          <w:rFonts w:ascii="Trebuchet MS" w:hAnsi="Trebuchet MS"/>
          <w:szCs w:val="22"/>
        </w:rPr>
        <w:t>GENERAL</w:t>
      </w:r>
    </w:p>
    <w:p>
      <w:pPr>
        <w:pStyle w:val="ART"/>
        <w:numPr>
          <w:ilvl w:val="3"/>
          <w:numId w:val="1"/>
        </w:numPr>
        <w:rPr>
          <w:rFonts w:ascii="Trebuchet MS" w:hAnsi="Trebuchet MS"/>
          <w:szCs w:val="22"/>
        </w:rPr>
      </w:pPr>
      <w:r>
        <w:rPr>
          <w:rFonts w:ascii="Trebuchet MS" w:hAnsi="Trebuchet MS"/>
          <w:szCs w:val="22"/>
        </w:rPr>
        <w:t>SUMMARY</w:t>
      </w:r>
    </w:p>
    <w:p>
      <w:pPr>
        <w:pStyle w:val="PR1"/>
        <w:numPr>
          <w:ilvl w:val="4"/>
          <w:numId w:val="1"/>
        </w:numPr>
        <w:rPr>
          <w:rFonts w:ascii="Trebuchet MS" w:hAnsi="Trebuchet MS"/>
          <w:szCs w:val="22"/>
        </w:rPr>
      </w:pPr>
      <w:r>
        <w:rPr>
          <w:rFonts w:ascii="Trebuchet MS" w:hAnsi="Trebuchet MS"/>
          <w:szCs w:val="22"/>
        </w:rPr>
        <w:t>Section Includes:</w:t>
      </w:r>
    </w:p>
    <w:p>
      <w:pPr>
        <w:pStyle w:val="PR2"/>
        <w:numPr>
          <w:ilvl w:val="5"/>
          <w:numId w:val="1"/>
        </w:numPr>
        <w:spacing w:before="240" w:after="0"/>
        <w:rPr>
          <w:rFonts w:ascii="Trebuchet MS" w:hAnsi="Trebuchet MS"/>
          <w:szCs w:val="22"/>
        </w:rPr>
      </w:pPr>
      <w:r>
        <w:rPr>
          <w:rFonts w:ascii="Trebuchet MS" w:hAnsi="Trebuchet MS"/>
          <w:szCs w:val="22"/>
        </w:rPr>
        <w:t>Grounding conductors.</w:t>
      </w:r>
    </w:p>
    <w:p>
      <w:pPr>
        <w:pStyle w:val="PR2"/>
        <w:numPr>
          <w:ilvl w:val="5"/>
          <w:numId w:val="1"/>
        </w:numPr>
        <w:rPr>
          <w:rFonts w:ascii="Trebuchet MS" w:hAnsi="Trebuchet MS"/>
          <w:szCs w:val="22"/>
        </w:rPr>
      </w:pPr>
      <w:r>
        <w:rPr>
          <w:rFonts w:ascii="Trebuchet MS" w:hAnsi="Trebuchet MS"/>
          <w:szCs w:val="22"/>
        </w:rPr>
        <w:t>Grounding connectors.</w:t>
      </w:r>
    </w:p>
    <w:p>
      <w:pPr>
        <w:pStyle w:val="PR2"/>
        <w:numPr>
          <w:ilvl w:val="5"/>
          <w:numId w:val="1"/>
        </w:numPr>
        <w:rPr>
          <w:rFonts w:ascii="Trebuchet MS" w:hAnsi="Trebuchet MS"/>
          <w:szCs w:val="22"/>
        </w:rPr>
      </w:pPr>
      <w:r>
        <w:rPr>
          <w:rFonts w:ascii="Trebuchet MS" w:hAnsi="Trebuchet MS"/>
          <w:szCs w:val="22"/>
        </w:rPr>
        <w:t>Grounding busbars.</w:t>
      </w:r>
    </w:p>
    <w:p>
      <w:pPr>
        <w:pStyle w:val="PR2"/>
        <w:numPr>
          <w:ilvl w:val="5"/>
          <w:numId w:val="1"/>
        </w:numPr>
        <w:rPr>
          <w:rFonts w:ascii="Trebuchet MS" w:hAnsi="Trebuchet MS"/>
          <w:szCs w:val="22"/>
        </w:rPr>
      </w:pPr>
      <w:r>
        <w:rPr>
          <w:rFonts w:ascii="Trebuchet MS" w:hAnsi="Trebuchet MS"/>
          <w:szCs w:val="22"/>
        </w:rPr>
        <w:t>Grounding rods.</w:t>
      </w:r>
    </w:p>
    <w:p>
      <w:pPr>
        <w:pStyle w:val="PR2"/>
        <w:numPr>
          <w:ilvl w:val="5"/>
          <w:numId w:val="1"/>
        </w:numPr>
        <w:rPr>
          <w:rFonts w:ascii="Trebuchet MS" w:hAnsi="Trebuchet MS"/>
          <w:szCs w:val="22"/>
        </w:rPr>
      </w:pPr>
      <w:r>
        <w:rPr>
          <w:rFonts w:ascii="Trebuchet MS" w:hAnsi="Trebuchet MS"/>
          <w:szCs w:val="22"/>
        </w:rPr>
        <w:t>Grounding labeling.</w:t>
      </w:r>
    </w:p>
    <w:p>
      <w:pPr>
        <w:pStyle w:val="ART"/>
        <w:numPr>
          <w:ilvl w:val="3"/>
          <w:numId w:val="1"/>
        </w:numPr>
        <w:rPr>
          <w:rFonts w:ascii="Trebuchet MS" w:hAnsi="Trebuchet MS"/>
          <w:szCs w:val="22"/>
        </w:rPr>
      </w:pPr>
      <w:r>
        <w:rPr>
          <w:rFonts w:ascii="Trebuchet MS" w:hAnsi="Trebuchet MS"/>
          <w:szCs w:val="22"/>
        </w:rPr>
        <w:t>DEFINITIONS</w:t>
      </w:r>
    </w:p>
    <w:p>
      <w:pPr>
        <w:pStyle w:val="CMT"/>
        <w:rPr>
          <w:rFonts w:ascii="Trebuchet MS" w:hAnsi="Trebuchet MS"/>
          <w:szCs w:val="22"/>
        </w:rPr>
      </w:pPr>
      <w:r>
        <w:rPr>
          <w:rFonts w:ascii="Trebuchet MS" w:hAnsi="Trebuchet MS"/>
          <w:szCs w:val="22"/>
        </w:rPr>
        <w:t>Retain terms that remain after this Section has been edited for a project.</w:t>
      </w:r>
    </w:p>
    <w:p>
      <w:pPr>
        <w:pStyle w:val="PR1"/>
        <w:numPr>
          <w:ilvl w:val="4"/>
          <w:numId w:val="1"/>
        </w:numPr>
        <w:rPr>
          <w:rFonts w:ascii="Trebuchet MS" w:hAnsi="Trebuchet MS"/>
          <w:szCs w:val="22"/>
        </w:rPr>
      </w:pPr>
      <w:r>
        <w:rPr>
          <w:rFonts w:ascii="Trebuchet MS" w:hAnsi="Trebuchet MS"/>
          <w:szCs w:val="22"/>
        </w:rPr>
        <w:t>BCT: Bonding conductor for telecommunications.</w:t>
      </w:r>
    </w:p>
    <w:p>
      <w:pPr>
        <w:pStyle w:val="PR1"/>
        <w:numPr>
          <w:ilvl w:val="4"/>
          <w:numId w:val="1"/>
        </w:numPr>
        <w:rPr>
          <w:rFonts w:ascii="Trebuchet MS" w:hAnsi="Trebuchet MS"/>
          <w:szCs w:val="22"/>
        </w:rPr>
      </w:pPr>
      <w:r>
        <w:rPr>
          <w:rFonts w:ascii="Trebuchet MS" w:hAnsi="Trebuchet MS"/>
          <w:szCs w:val="22"/>
        </w:rPr>
        <w:t>EMT: Electrical metallic tubing.</w:t>
      </w:r>
    </w:p>
    <w:p>
      <w:pPr>
        <w:pStyle w:val="PR1"/>
        <w:numPr>
          <w:ilvl w:val="4"/>
          <w:numId w:val="1"/>
        </w:numPr>
        <w:rPr>
          <w:rFonts w:ascii="Trebuchet MS" w:hAnsi="Trebuchet MS"/>
          <w:szCs w:val="22"/>
        </w:rPr>
      </w:pPr>
      <w:r>
        <w:rPr>
          <w:rFonts w:ascii="Trebuchet MS" w:hAnsi="Trebuchet MS"/>
          <w:szCs w:val="22"/>
        </w:rPr>
        <w:t>TGB: Telecommunications grounding busbar.</w:t>
      </w:r>
    </w:p>
    <w:p>
      <w:pPr>
        <w:pStyle w:val="PR1"/>
        <w:numPr>
          <w:ilvl w:val="4"/>
          <w:numId w:val="1"/>
        </w:numPr>
        <w:rPr>
          <w:rFonts w:ascii="Trebuchet MS" w:hAnsi="Trebuchet MS"/>
          <w:szCs w:val="22"/>
        </w:rPr>
      </w:pPr>
      <w:r>
        <w:rPr>
          <w:rFonts w:ascii="Trebuchet MS" w:hAnsi="Trebuchet MS"/>
          <w:szCs w:val="22"/>
        </w:rPr>
        <w:t>TMGB: Telecommunications main grounding busbar.</w:t>
      </w:r>
    </w:p>
    <w:p>
      <w:pPr>
        <w:pStyle w:val="ART"/>
        <w:numPr>
          <w:ilvl w:val="3"/>
          <w:numId w:val="1"/>
        </w:numPr>
        <w:rPr>
          <w:rFonts w:ascii="Trebuchet MS" w:hAnsi="Trebuchet MS"/>
          <w:szCs w:val="22"/>
        </w:rPr>
      </w:pPr>
      <w:r>
        <w:rPr>
          <w:rFonts w:ascii="Trebuchet MS" w:hAnsi="Trebuchet MS"/>
          <w:szCs w:val="22"/>
        </w:rPr>
        <w:t>ACTION SUBMITTALS</w:t>
      </w:r>
    </w:p>
    <w:p>
      <w:pPr>
        <w:pStyle w:val="PR1"/>
        <w:numPr>
          <w:ilvl w:val="4"/>
          <w:numId w:val="1"/>
        </w:numPr>
        <w:rPr>
          <w:rFonts w:ascii="Trebuchet MS" w:hAnsi="Trebuchet MS"/>
          <w:szCs w:val="22"/>
        </w:rPr>
      </w:pPr>
      <w:r>
        <w:rPr>
          <w:rFonts w:ascii="Trebuchet MS" w:hAnsi="Trebuchet MS"/>
          <w:szCs w:val="22"/>
        </w:rPr>
        <w:t>Product Data: For each type of product.</w:t>
      </w:r>
    </w:p>
    <w:p>
      <w:pPr>
        <w:pStyle w:val="ART"/>
        <w:numPr>
          <w:ilvl w:val="3"/>
          <w:numId w:val="1"/>
        </w:numPr>
        <w:rPr>
          <w:rFonts w:ascii="Trebuchet MS" w:hAnsi="Trebuchet MS"/>
          <w:szCs w:val="22"/>
        </w:rPr>
      </w:pPr>
      <w:r>
        <w:rPr>
          <w:rFonts w:ascii="Trebuchet MS" w:hAnsi="Trebuchet MS"/>
          <w:szCs w:val="22"/>
        </w:rPr>
        <w:t>CLOSEOUT SUBMITTALS</w:t>
      </w:r>
    </w:p>
    <w:p>
      <w:pPr>
        <w:pStyle w:val="PR1"/>
        <w:numPr>
          <w:ilvl w:val="4"/>
          <w:numId w:val="1"/>
        </w:numPr>
        <w:rPr>
          <w:rFonts w:ascii="Trebuchet MS" w:hAnsi="Trebuchet MS"/>
          <w:szCs w:val="22"/>
        </w:rPr>
      </w:pPr>
      <w:r>
        <w:rPr>
          <w:rFonts w:ascii="Trebuchet MS" w:hAnsi="Trebuchet MS"/>
          <w:szCs w:val="22"/>
        </w:rPr>
        <w:t>Operation and maintenance data.</w:t>
      </w:r>
    </w:p>
    <w:p>
      <w:pPr>
        <w:pStyle w:val="PRT"/>
        <w:numPr>
          <w:ilvl w:val="0"/>
          <w:numId w:val="1"/>
        </w:numPr>
        <w:rPr>
          <w:rFonts w:ascii="Trebuchet MS" w:hAnsi="Trebuchet MS"/>
          <w:szCs w:val="22"/>
        </w:rPr>
      </w:pPr>
      <w:r>
        <w:rPr>
          <w:rFonts w:ascii="Trebuchet MS" w:hAnsi="Trebuchet MS"/>
          <w:szCs w:val="22"/>
        </w:rPr>
        <w:t>PRODUCTS</w:t>
      </w:r>
    </w:p>
    <w:p>
      <w:pPr>
        <w:pStyle w:val="CMT"/>
        <w:rPr>
          <w:rFonts w:ascii="Trebuchet MS" w:hAnsi="Trebuchet MS"/>
          <w:szCs w:val="22"/>
        </w:rPr>
      </w:pPr>
      <w:r>
        <w:rPr>
          <w:rFonts w:ascii="Trebuchet MS" w:hAnsi="Trebuchet MS"/>
          <w:szCs w:val="22"/>
        </w:rPr>
        <w:t>See Editing Instruction No. 1 in the Evaluations for cautions about named manufacturers and products. For an explanation of options and Contractor's product selection procedures, see Section 016000 "Product Requirements."</w:t>
      </w:r>
    </w:p>
    <w:p>
      <w:pPr>
        <w:pStyle w:val="ART"/>
        <w:numPr>
          <w:ilvl w:val="3"/>
          <w:numId w:val="1"/>
        </w:numPr>
        <w:rPr>
          <w:rFonts w:ascii="Trebuchet MS" w:hAnsi="Trebuchet MS"/>
          <w:szCs w:val="22"/>
        </w:rPr>
      </w:pPr>
      <w:r>
        <w:rPr>
          <w:rFonts w:ascii="Trebuchet MS" w:hAnsi="Trebuchet MS"/>
          <w:szCs w:val="22"/>
        </w:rPr>
        <w:t>SYSTEM COMPONENTS</w:t>
      </w:r>
    </w:p>
    <w:p>
      <w:pPr>
        <w:pStyle w:val="PR1"/>
        <w:numPr>
          <w:ilvl w:val="4"/>
          <w:numId w:val="1"/>
        </w:numPr>
        <w:rPr>
          <w:rFonts w:ascii="Trebuchet MS" w:hAnsi="Trebuchet MS"/>
          <w:szCs w:val="22"/>
        </w:rPr>
      </w:pPr>
      <w:r>
        <w:rPr>
          <w:rFonts w:ascii="Trebuchet MS" w:hAnsi="Trebuchet MS"/>
          <w:szCs w:val="22"/>
        </w:rPr>
        <w:t>Comply with J-STD-607-A.</w:t>
      </w:r>
    </w:p>
    <w:p>
      <w:pPr>
        <w:pStyle w:val="ART"/>
        <w:numPr>
          <w:ilvl w:val="3"/>
          <w:numId w:val="1"/>
        </w:numPr>
        <w:rPr>
          <w:rFonts w:ascii="Trebuchet MS" w:hAnsi="Trebuchet MS"/>
          <w:szCs w:val="22"/>
        </w:rPr>
      </w:pPr>
      <w:r>
        <w:rPr>
          <w:rFonts w:ascii="Trebuchet MS" w:hAnsi="Trebuchet MS"/>
          <w:szCs w:val="22"/>
        </w:rPr>
        <w:t>CONDUCTORS</w:t>
      </w:r>
    </w:p>
    <w:p>
      <w:pPr>
        <w:pStyle w:val="CMT"/>
        <w:rPr>
          <w:rFonts w:ascii="Trebuchet MS" w:hAnsi="Trebuchet MS"/>
          <w:color w:val="auto"/>
          <w:szCs w:val="22"/>
        </w:rPr>
      </w:pPr>
      <w:r>
        <w:rPr>
          <w:rFonts w:ascii="Trebuchet MS" w:hAnsi="Trebuchet MS"/>
          <w:color w:val="auto"/>
          <w:szCs w:val="22"/>
        </w:rPr>
        <w:t>See "Grounding Products" Article in the Evaluations for discussion on alternative conductor materials.</w:t>
      </w:r>
    </w:p>
    <w:p>
      <w:pPr>
        <w:pStyle w:val="CMT"/>
        <w:rPr>
          <w:rFonts w:ascii="Trebuchet MS" w:hAnsi="Trebuchet MS"/>
          <w:color w:val="auto"/>
          <w:szCs w:val="22"/>
        </w:rPr>
      </w:pPr>
      <w:r>
        <w:rPr>
          <w:rFonts w:ascii="Trebuchet MS" w:hAnsi="Trebuchet MS"/>
          <w:color w:val="auto"/>
          <w:szCs w:val="22"/>
        </w:rPr>
        <w:t>Retain "Manufacturers" Paragraph and list of manufacturers below to require products from manufacturers listed or a comparable product from other manufacturers.</w:t>
      </w:r>
    </w:p>
    <w:p>
      <w:pPr>
        <w:pStyle w:val="PR1"/>
        <w:numPr>
          <w:ilvl w:val="4"/>
          <w:numId w:val="1"/>
        </w:numPr>
        <w:rPr>
          <w:rFonts w:ascii="Trebuchet MS" w:hAnsi="Trebuchet MS"/>
          <w:szCs w:val="22"/>
        </w:rPr>
      </w:pPr>
      <w:hyperlink r:id="rId2">
        <w:r>
          <w:rPr>
            <w:rStyle w:val="Style9"/>
            <w:rFonts w:ascii="Trebuchet MS" w:hAnsi="Trebuchet MS"/>
            <w:color w:val="auto"/>
            <w:szCs w:val="22"/>
            <w:u w:val="single"/>
          </w:rPr>
          <w:t>Manufacturers</w:t>
        </w:r>
      </w:hyperlink>
      <w:r>
        <w:rPr>
          <w:rFonts w:ascii="Trebuchet MS" w:hAnsi="Trebuchet MS"/>
          <w:szCs w:val="22"/>
        </w:rPr>
        <w:t>: Subject to compliance with requirements, available manufacturers offering products that may be incorporated into the Work include, but are not limited to, the following:</w:t>
      </w:r>
    </w:p>
    <w:p>
      <w:pPr>
        <w:pStyle w:val="PR2"/>
        <w:numPr>
          <w:ilvl w:val="5"/>
          <w:numId w:val="1"/>
        </w:numPr>
        <w:spacing w:before="240" w:after="0"/>
        <w:rPr>
          <w:rFonts w:ascii="Trebuchet MS" w:hAnsi="Trebuchet MS"/>
          <w:szCs w:val="22"/>
        </w:rPr>
      </w:pPr>
      <w:hyperlink r:id="rId3">
        <w:r>
          <w:rPr>
            <w:rStyle w:val="Style9"/>
            <w:rFonts w:ascii="Trebuchet MS" w:hAnsi="Trebuchet MS"/>
            <w:color w:val="auto"/>
            <w:szCs w:val="22"/>
            <w:u w:val="none"/>
          </w:rPr>
          <w:t>Harger Lightning and Grounding</w:t>
        </w:r>
      </w:hyperlink>
      <w:r>
        <w:rPr>
          <w:rFonts w:ascii="Trebuchet MS" w:hAnsi="Trebuchet MS"/>
          <w:szCs w:val="22"/>
        </w:rPr>
        <w:t>.</w:t>
      </w:r>
    </w:p>
    <w:p>
      <w:pPr>
        <w:pStyle w:val="PR2"/>
        <w:numPr>
          <w:ilvl w:val="5"/>
          <w:numId w:val="1"/>
        </w:numPr>
        <w:rPr>
          <w:rFonts w:ascii="Trebuchet MS" w:hAnsi="Trebuchet MS"/>
          <w:szCs w:val="22"/>
        </w:rPr>
      </w:pPr>
      <w:hyperlink r:id="rId4">
        <w:r>
          <w:rPr>
            <w:rStyle w:val="Style9"/>
            <w:rFonts w:ascii="Trebuchet MS" w:hAnsi="Trebuchet MS"/>
            <w:color w:val="auto"/>
            <w:szCs w:val="22"/>
            <w:u w:val="none"/>
          </w:rPr>
          <w:t>Panduit Corp</w:t>
        </w:r>
      </w:hyperlink>
      <w:r>
        <w:rPr>
          <w:rFonts w:ascii="Trebuchet MS" w:hAnsi="Trebuchet MS"/>
          <w:szCs w:val="22"/>
        </w:rPr>
        <w:t>.</w:t>
      </w:r>
    </w:p>
    <w:p>
      <w:pPr>
        <w:pStyle w:val="PR2"/>
        <w:numPr>
          <w:ilvl w:val="5"/>
          <w:numId w:val="1"/>
        </w:numPr>
        <w:rPr>
          <w:rFonts w:ascii="Trebuchet MS" w:hAnsi="Trebuchet MS"/>
          <w:szCs w:val="22"/>
        </w:rPr>
      </w:pPr>
      <w:hyperlink r:id="rId5">
        <w:r>
          <w:rPr>
            <w:rStyle w:val="Style9"/>
            <w:rFonts w:ascii="Trebuchet MS" w:hAnsi="Trebuchet MS"/>
            <w:color w:val="auto"/>
            <w:szCs w:val="22"/>
            <w:u w:val="none"/>
          </w:rPr>
          <w:t>Tyco Electronics Corp</w:t>
        </w:r>
      </w:hyperlink>
      <w:r>
        <w:rPr>
          <w:rFonts w:ascii="Trebuchet MS" w:hAnsi="Trebuchet MS"/>
          <w:szCs w:val="22"/>
        </w:rPr>
        <w:t>.</w:t>
      </w:r>
    </w:p>
    <w:p>
      <w:pPr>
        <w:pStyle w:val="PR1"/>
        <w:numPr>
          <w:ilvl w:val="4"/>
          <w:numId w:val="1"/>
        </w:numPr>
        <w:rPr>
          <w:rFonts w:ascii="Trebuchet MS" w:hAnsi="Trebuchet MS"/>
          <w:szCs w:val="22"/>
        </w:rPr>
      </w:pPr>
      <w:r>
        <w:rPr>
          <w:rFonts w:ascii="Trebuchet MS" w:hAnsi="Trebuchet MS"/>
          <w:szCs w:val="22"/>
        </w:rPr>
        <w:t>Comply with UL 486A-486B.</w:t>
      </w:r>
    </w:p>
    <w:p>
      <w:pPr>
        <w:pStyle w:val="PR1"/>
        <w:numPr>
          <w:ilvl w:val="4"/>
          <w:numId w:val="1"/>
        </w:numPr>
        <w:rPr>
          <w:rFonts w:ascii="Trebuchet MS" w:hAnsi="Trebuchet MS"/>
          <w:szCs w:val="22"/>
        </w:rPr>
      </w:pPr>
      <w:r>
        <w:rPr>
          <w:rFonts w:ascii="Trebuchet MS" w:hAnsi="Trebuchet MS"/>
          <w:szCs w:val="22"/>
        </w:rPr>
        <w:t>Insulated Conductors: Stranded copper wire, green or green with yellow stripe insulation, insulated for 600 V, and complying with UL 83.</w:t>
      </w:r>
    </w:p>
    <w:p>
      <w:pPr>
        <w:pStyle w:val="PR2"/>
        <w:numPr>
          <w:ilvl w:val="5"/>
          <w:numId w:val="1"/>
        </w:numPr>
        <w:spacing w:before="240" w:after="0"/>
        <w:rPr>
          <w:rFonts w:ascii="Trebuchet MS" w:hAnsi="Trebuchet MS"/>
          <w:szCs w:val="22"/>
        </w:rPr>
      </w:pPr>
      <w:r>
        <w:rPr>
          <w:rFonts w:ascii="Trebuchet MS" w:hAnsi="Trebuchet MS"/>
          <w:szCs w:val="22"/>
        </w:rPr>
        <w:t>Ground wire for custom-length equipment ground jumpers shall be No. 6 AWG, 19-strand, UL-listed, Type THHN wire.</w:t>
      </w:r>
    </w:p>
    <w:p>
      <w:pPr>
        <w:pStyle w:val="CMT"/>
        <w:rPr>
          <w:rFonts w:ascii="Trebuchet MS" w:hAnsi="Trebuchet MS"/>
          <w:szCs w:val="22"/>
        </w:rPr>
      </w:pPr>
      <w:r>
        <w:rPr>
          <w:rFonts w:ascii="Trebuchet MS" w:hAnsi="Trebuchet MS"/>
          <w:szCs w:val="22"/>
        </w:rPr>
        <w:t>Retain "Cable Tray Equipment Grounding Wire" Subparagraph below if an equipment grounding conductor is required. If the ground wire serves as the telecommunications bonding backbone, indicate wire size on Drawings.</w:t>
      </w:r>
    </w:p>
    <w:p>
      <w:pPr>
        <w:pStyle w:val="CMT"/>
        <w:rPr>
          <w:rFonts w:ascii="Trebuchet MS" w:hAnsi="Trebuchet MS"/>
          <w:szCs w:val="22"/>
        </w:rPr>
      </w:pPr>
      <w:r>
        <w:rPr>
          <w:rFonts w:ascii="Trebuchet MS" w:hAnsi="Trebuchet MS"/>
          <w:szCs w:val="22"/>
        </w:rPr>
        <w:t>If cable tray contains electrical power conductors, then NFPA 70, Article 392 "Cable Trays" governs, and the minimum equipment grounding conductor size is No. 4 AWG.</w:t>
      </w:r>
    </w:p>
    <w:p>
      <w:pPr>
        <w:pStyle w:val="PR2"/>
        <w:numPr>
          <w:ilvl w:val="5"/>
          <w:numId w:val="1"/>
        </w:numPr>
        <w:rPr>
          <w:rFonts w:ascii="Trebuchet MS" w:hAnsi="Trebuchet MS"/>
          <w:szCs w:val="22"/>
        </w:rPr>
      </w:pPr>
      <w:r>
        <w:rPr>
          <w:rFonts w:ascii="Trebuchet MS" w:hAnsi="Trebuchet MS"/>
          <w:szCs w:val="22"/>
        </w:rPr>
        <w:t>Cable Tray Equipment Grounding Wire: No. 8 AWG.</w:t>
      </w:r>
    </w:p>
    <w:p>
      <w:pPr>
        <w:pStyle w:val="PR1"/>
        <w:numPr>
          <w:ilvl w:val="4"/>
          <w:numId w:val="1"/>
        </w:numPr>
        <w:rPr>
          <w:rFonts w:ascii="Trebuchet MS" w:hAnsi="Trebuchet MS"/>
          <w:szCs w:val="22"/>
        </w:rPr>
      </w:pPr>
      <w:r>
        <w:rPr>
          <w:rFonts w:ascii="Trebuchet MS" w:hAnsi="Trebuchet MS"/>
          <w:szCs w:val="22"/>
        </w:rPr>
        <w:t>Bare Copper Conductors:</w:t>
      </w:r>
    </w:p>
    <w:p>
      <w:pPr>
        <w:pStyle w:val="PR2"/>
        <w:numPr>
          <w:ilvl w:val="5"/>
          <w:numId w:val="1"/>
        </w:numPr>
        <w:spacing w:before="240" w:after="0"/>
        <w:rPr>
          <w:rFonts w:ascii="Trebuchet MS" w:hAnsi="Trebuchet MS"/>
          <w:szCs w:val="22"/>
        </w:rPr>
      </w:pPr>
      <w:r>
        <w:rPr>
          <w:rFonts w:ascii="Trebuchet MS" w:hAnsi="Trebuchet MS"/>
          <w:szCs w:val="22"/>
        </w:rPr>
        <w:t>Solid Conductors: ASTM B 3.</w:t>
      </w:r>
    </w:p>
    <w:p>
      <w:pPr>
        <w:pStyle w:val="PR2"/>
        <w:numPr>
          <w:ilvl w:val="5"/>
          <w:numId w:val="1"/>
        </w:numPr>
        <w:rPr>
          <w:rFonts w:ascii="Trebuchet MS" w:hAnsi="Trebuchet MS"/>
          <w:szCs w:val="22"/>
        </w:rPr>
      </w:pPr>
      <w:r>
        <w:rPr>
          <w:rFonts w:ascii="Trebuchet MS" w:hAnsi="Trebuchet MS"/>
          <w:szCs w:val="22"/>
        </w:rPr>
        <w:t>Stranded Conductors: ASTM B 8.</w:t>
      </w:r>
    </w:p>
    <w:p>
      <w:pPr>
        <w:pStyle w:val="PR2"/>
        <w:numPr>
          <w:ilvl w:val="5"/>
          <w:numId w:val="1"/>
        </w:numPr>
        <w:rPr>
          <w:rFonts w:ascii="Trebuchet MS" w:hAnsi="Trebuchet MS"/>
          <w:szCs w:val="22"/>
        </w:rPr>
      </w:pPr>
      <w:r>
        <w:rPr>
          <w:rFonts w:ascii="Trebuchet MS" w:hAnsi="Trebuchet MS"/>
          <w:szCs w:val="22"/>
        </w:rPr>
        <w:t>Tinned Conductors: ASTM B 33.</w:t>
      </w:r>
    </w:p>
    <w:p>
      <w:pPr>
        <w:pStyle w:val="CMT"/>
        <w:rPr>
          <w:rFonts w:ascii="Trebuchet MS" w:hAnsi="Trebuchet MS"/>
          <w:color w:val="auto"/>
          <w:szCs w:val="22"/>
        </w:rPr>
      </w:pPr>
      <w:r>
        <w:rPr>
          <w:rFonts w:ascii="Trebuchet MS" w:hAnsi="Trebuchet MS"/>
          <w:color w:val="auto"/>
          <w:szCs w:val="22"/>
        </w:rPr>
        <w:t xml:space="preserve">Sizes and types of conductors in three subparagraphs below are typical examples. </w:t>
      </w:r>
      <w:r>
        <w:rPr>
          <w:rStyle w:val="IP"/>
          <w:rFonts w:ascii="Trebuchet MS" w:hAnsi="Trebuchet MS"/>
          <w:color w:val="auto"/>
          <w:szCs w:val="22"/>
        </w:rPr>
        <w:t>28-kcmil</w:t>
      </w:r>
      <w:r>
        <w:rPr>
          <w:rStyle w:val="SI"/>
          <w:rFonts w:ascii="Trebuchet MS" w:hAnsi="Trebuchet MS"/>
          <w:color w:val="auto"/>
          <w:szCs w:val="22"/>
        </w:rPr>
        <w:t xml:space="preserve"> (14.2-sq. mm)</w:t>
      </w:r>
      <w:r>
        <w:rPr>
          <w:rFonts w:ascii="Trebuchet MS" w:hAnsi="Trebuchet MS"/>
          <w:color w:val="auto"/>
          <w:szCs w:val="22"/>
        </w:rPr>
        <w:t xml:space="preserve"> bonding cable in "Bonding Cable" Subparagraph is slightly larger than No. 6 AWG.</w:t>
      </w:r>
    </w:p>
    <w:p>
      <w:pPr>
        <w:pStyle w:val="PR2"/>
        <w:numPr>
          <w:ilvl w:val="5"/>
          <w:numId w:val="1"/>
        </w:numPr>
        <w:rPr>
          <w:rFonts w:ascii="Trebuchet MS" w:hAnsi="Trebuchet MS"/>
          <w:szCs w:val="22"/>
        </w:rPr>
      </w:pPr>
      <w:r>
        <w:rPr>
          <w:rFonts w:ascii="Trebuchet MS" w:hAnsi="Trebuchet MS"/>
          <w:szCs w:val="22"/>
        </w:rPr>
        <w:t xml:space="preserve">Bonding Cable: </w:t>
      </w:r>
      <w:r>
        <w:rPr>
          <w:rStyle w:val="IP"/>
          <w:rFonts w:ascii="Trebuchet MS" w:hAnsi="Trebuchet MS"/>
          <w:color w:val="auto"/>
          <w:szCs w:val="22"/>
        </w:rPr>
        <w:t>28 kcmils</w:t>
      </w:r>
      <w:r>
        <w:rPr>
          <w:rStyle w:val="SI"/>
          <w:rFonts w:ascii="Trebuchet MS" w:hAnsi="Trebuchet MS"/>
          <w:color w:val="auto"/>
          <w:szCs w:val="22"/>
        </w:rPr>
        <w:t>,</w:t>
      </w:r>
      <w:r>
        <w:rPr>
          <w:rFonts w:ascii="Trebuchet MS" w:hAnsi="Trebuchet MS"/>
          <w:szCs w:val="22"/>
        </w:rPr>
        <w:t xml:space="preserve"> 14 strands of No. 17 AWG conductor, and </w:t>
      </w:r>
      <w:r>
        <w:rPr>
          <w:rStyle w:val="IP"/>
          <w:rFonts w:ascii="Trebuchet MS" w:hAnsi="Trebuchet MS"/>
          <w:color w:val="auto"/>
          <w:szCs w:val="22"/>
        </w:rPr>
        <w:t>1/4 inch</w:t>
      </w:r>
      <w:r>
        <w:rPr>
          <w:rStyle w:val="SI"/>
          <w:rFonts w:ascii="Trebuchet MS" w:hAnsi="Trebuchet MS"/>
          <w:color w:val="auto"/>
          <w:szCs w:val="22"/>
        </w:rPr>
        <w:t xml:space="preserve"> </w:t>
      </w:r>
      <w:r>
        <w:rPr>
          <w:rFonts w:ascii="Trebuchet MS" w:hAnsi="Trebuchet MS"/>
          <w:szCs w:val="22"/>
        </w:rPr>
        <w:t>in diameter.</w:t>
      </w:r>
    </w:p>
    <w:p>
      <w:pPr>
        <w:pStyle w:val="PR2"/>
        <w:numPr>
          <w:ilvl w:val="5"/>
          <w:numId w:val="1"/>
        </w:numPr>
        <w:rPr>
          <w:rFonts w:ascii="Trebuchet MS" w:hAnsi="Trebuchet MS"/>
          <w:szCs w:val="22"/>
        </w:rPr>
      </w:pPr>
      <w:r>
        <w:rPr>
          <w:rFonts w:ascii="Trebuchet MS" w:hAnsi="Trebuchet MS"/>
          <w:szCs w:val="22"/>
        </w:rPr>
        <w:t>Bonding Conductor: No. 4 or No. 6 AWG, stranded conductor.</w:t>
      </w:r>
    </w:p>
    <w:p>
      <w:pPr>
        <w:pStyle w:val="PR2"/>
        <w:numPr>
          <w:ilvl w:val="5"/>
          <w:numId w:val="1"/>
        </w:numPr>
        <w:rPr>
          <w:rFonts w:ascii="Trebuchet MS" w:hAnsi="Trebuchet MS"/>
          <w:szCs w:val="22"/>
        </w:rPr>
      </w:pPr>
      <w:r>
        <w:rPr>
          <w:rFonts w:ascii="Trebuchet MS" w:hAnsi="Trebuchet MS"/>
          <w:szCs w:val="22"/>
        </w:rPr>
        <w:t xml:space="preserve">Bonding Jumper: Tinned-copper tape, braided conductors terminated with two-hole copper ferrules; </w:t>
      </w:r>
      <w:r>
        <w:rPr>
          <w:rStyle w:val="IP"/>
          <w:rFonts w:ascii="Trebuchet MS" w:hAnsi="Trebuchet MS"/>
          <w:color w:val="auto"/>
          <w:szCs w:val="22"/>
        </w:rPr>
        <w:t>1-5/8 inches</w:t>
      </w:r>
      <w:r>
        <w:rPr>
          <w:rStyle w:val="SI"/>
          <w:rFonts w:ascii="Trebuchet MS" w:hAnsi="Trebuchet MS"/>
          <w:color w:val="auto"/>
          <w:szCs w:val="22"/>
        </w:rPr>
        <w:t xml:space="preserve"> </w:t>
      </w:r>
      <w:r>
        <w:rPr>
          <w:rFonts w:ascii="Trebuchet MS" w:hAnsi="Trebuchet MS"/>
          <w:szCs w:val="22"/>
        </w:rPr>
        <w:t xml:space="preserve">wide and </w:t>
      </w:r>
      <w:r>
        <w:rPr>
          <w:rStyle w:val="IP"/>
          <w:rFonts w:ascii="Trebuchet MS" w:hAnsi="Trebuchet MS"/>
          <w:color w:val="auto"/>
          <w:szCs w:val="22"/>
        </w:rPr>
        <w:t>1/16 inch</w:t>
      </w:r>
      <w:r>
        <w:rPr>
          <w:rStyle w:val="SI"/>
          <w:rFonts w:ascii="Trebuchet MS" w:hAnsi="Trebuchet MS"/>
          <w:color w:val="auto"/>
          <w:szCs w:val="22"/>
        </w:rPr>
        <w:t xml:space="preserve"> </w:t>
      </w:r>
      <w:r>
        <w:rPr>
          <w:rFonts w:ascii="Trebuchet MS" w:hAnsi="Trebuchet MS"/>
          <w:szCs w:val="22"/>
        </w:rPr>
        <w:t>thick.</w:t>
      </w:r>
    </w:p>
    <w:p>
      <w:pPr>
        <w:pStyle w:val="ART"/>
        <w:numPr>
          <w:ilvl w:val="3"/>
          <w:numId w:val="1"/>
        </w:numPr>
        <w:rPr>
          <w:rFonts w:ascii="Trebuchet MS" w:hAnsi="Trebuchet MS"/>
          <w:szCs w:val="22"/>
        </w:rPr>
      </w:pPr>
      <w:r>
        <w:rPr>
          <w:rFonts w:ascii="Trebuchet MS" w:hAnsi="Trebuchet MS"/>
          <w:szCs w:val="22"/>
        </w:rPr>
        <w:t>CONNECTORS</w:t>
      </w:r>
    </w:p>
    <w:p>
      <w:pPr>
        <w:pStyle w:val="PR1"/>
        <w:numPr>
          <w:ilvl w:val="4"/>
          <w:numId w:val="1"/>
        </w:numPr>
        <w:rPr>
          <w:rFonts w:ascii="Trebuchet MS" w:hAnsi="Trebuchet MS"/>
          <w:szCs w:val="22"/>
        </w:rPr>
      </w:pPr>
      <w:r>
        <w:rPr>
          <w:rFonts w:ascii="Trebuchet MS" w:hAnsi="Trebuchet MS"/>
          <w:szCs w:val="22"/>
        </w:rPr>
        <w:t>Irreversible connectors listed for the purpose. Listed by an NRTL as complying with NFPA 70 for specific types, sizes, and combinations of conductors and other items connected. Comply with UL 486A-486B.</w:t>
      </w:r>
    </w:p>
    <w:p>
      <w:pPr>
        <w:pStyle w:val="CMT"/>
        <w:rPr>
          <w:rFonts w:ascii="Trebuchet MS" w:hAnsi="Trebuchet MS"/>
          <w:szCs w:val="22"/>
        </w:rPr>
      </w:pPr>
      <w:r>
        <w:rPr>
          <w:rFonts w:ascii="Trebuchet MS" w:hAnsi="Trebuchet MS"/>
          <w:szCs w:val="22"/>
        </w:rPr>
        <w:t>Retain "Manufacturers" Paragraph and list of manufacturers below to require products from manufacturers listed or a comparable product from other manufacturers.</w:t>
      </w:r>
    </w:p>
    <w:p>
      <w:pPr>
        <w:pStyle w:val="PR1"/>
        <w:numPr>
          <w:ilvl w:val="4"/>
          <w:numId w:val="1"/>
        </w:numPr>
        <w:rPr>
          <w:rFonts w:ascii="Trebuchet MS" w:hAnsi="Trebuchet MS"/>
          <w:szCs w:val="22"/>
        </w:rPr>
      </w:pPr>
      <w:r>
        <w:rPr>
          <w:rFonts w:ascii="Trebuchet MS" w:hAnsi="Trebuchet MS"/>
          <w:szCs w:val="22"/>
        </w:rPr>
        <w:t>Manufacturers: Subject to compliance with requirements, available manufacturers offering products that may be incorporated into the Work include, but are not limited to, the following</w:t>
      </w:r>
    </w:p>
    <w:p>
      <w:pPr>
        <w:pStyle w:val="CMT"/>
        <w:rPr>
          <w:rFonts w:ascii="Trebuchet MS" w:hAnsi="Trebuchet MS"/>
          <w:color w:val="auto"/>
          <w:szCs w:val="22"/>
        </w:rPr>
      </w:pPr>
      <w:r>
        <w:rPr>
          <w:rFonts w:ascii="Trebuchet MS" w:hAnsi="Trebuchet MS"/>
          <w:color w:val="auto"/>
          <w:szCs w:val="22"/>
        </w:rPr>
        <w:t>Retain "Basis-of-Design Product" Paragraph and list of manufacturers below to identify a specific product or a comparable product from manufacturers listed. Retain option and delete insert note if manufacturer's name and model number are indicated on Drawings.</w:t>
      </w:r>
    </w:p>
    <w:p>
      <w:pPr>
        <w:pStyle w:val="PR2"/>
        <w:numPr>
          <w:ilvl w:val="5"/>
          <w:numId w:val="1"/>
        </w:numPr>
        <w:spacing w:before="240" w:after="0"/>
        <w:rPr>
          <w:rFonts w:ascii="Trebuchet MS" w:hAnsi="Trebuchet MS"/>
          <w:szCs w:val="22"/>
        </w:rPr>
      </w:pPr>
      <w:hyperlink r:id="rId6">
        <w:r>
          <w:rPr>
            <w:rStyle w:val="Style9"/>
            <w:rFonts w:ascii="Trebuchet MS" w:hAnsi="Trebuchet MS"/>
            <w:color w:val="auto"/>
            <w:szCs w:val="22"/>
            <w:u w:val="none"/>
          </w:rPr>
          <w:t>Burndy; Part of Hubbell Electrical Systems</w:t>
        </w:r>
      </w:hyperlink>
      <w:r>
        <w:rPr>
          <w:rFonts w:ascii="Trebuchet MS" w:hAnsi="Trebuchet MS"/>
          <w:szCs w:val="22"/>
        </w:rPr>
        <w:t>.</w:t>
      </w:r>
    </w:p>
    <w:p>
      <w:pPr>
        <w:pStyle w:val="PR2"/>
        <w:numPr>
          <w:ilvl w:val="5"/>
          <w:numId w:val="1"/>
        </w:numPr>
        <w:rPr>
          <w:rFonts w:ascii="Trebuchet MS" w:hAnsi="Trebuchet MS"/>
          <w:szCs w:val="22"/>
        </w:rPr>
      </w:pPr>
      <w:hyperlink r:id="rId7">
        <w:r>
          <w:rPr>
            <w:rStyle w:val="Style9"/>
            <w:rFonts w:ascii="Trebuchet MS" w:hAnsi="Trebuchet MS"/>
            <w:color w:val="auto"/>
            <w:szCs w:val="22"/>
            <w:u w:val="none"/>
          </w:rPr>
          <w:t>Chatsworth Products, Inc</w:t>
        </w:r>
      </w:hyperlink>
      <w:r>
        <w:rPr>
          <w:rFonts w:ascii="Trebuchet MS" w:hAnsi="Trebuchet MS"/>
          <w:szCs w:val="22"/>
        </w:rPr>
        <w:t>.</w:t>
      </w:r>
    </w:p>
    <w:p>
      <w:pPr>
        <w:pStyle w:val="PR2"/>
        <w:numPr>
          <w:ilvl w:val="5"/>
          <w:numId w:val="1"/>
        </w:numPr>
        <w:rPr>
          <w:rFonts w:ascii="Trebuchet MS" w:hAnsi="Trebuchet MS"/>
          <w:szCs w:val="22"/>
        </w:rPr>
      </w:pPr>
      <w:hyperlink r:id="rId8">
        <w:r>
          <w:rPr>
            <w:rStyle w:val="Style9"/>
            <w:rFonts w:ascii="Trebuchet MS" w:hAnsi="Trebuchet MS"/>
            <w:color w:val="auto"/>
            <w:szCs w:val="22"/>
            <w:u w:val="none"/>
          </w:rPr>
          <w:t>Harger Lightning and Grounding</w:t>
        </w:r>
      </w:hyperlink>
      <w:r>
        <w:rPr>
          <w:rFonts w:ascii="Trebuchet MS" w:hAnsi="Trebuchet MS"/>
          <w:szCs w:val="22"/>
        </w:rPr>
        <w:t>.</w:t>
      </w:r>
    </w:p>
    <w:p>
      <w:pPr>
        <w:pStyle w:val="PR2"/>
        <w:numPr>
          <w:ilvl w:val="5"/>
          <w:numId w:val="1"/>
        </w:numPr>
        <w:rPr>
          <w:rFonts w:ascii="Trebuchet MS" w:hAnsi="Trebuchet MS"/>
          <w:szCs w:val="22"/>
        </w:rPr>
      </w:pPr>
      <w:hyperlink r:id="rId9">
        <w:r>
          <w:rPr>
            <w:rStyle w:val="Style9"/>
            <w:rFonts w:ascii="Trebuchet MS" w:hAnsi="Trebuchet MS"/>
            <w:color w:val="auto"/>
            <w:szCs w:val="22"/>
            <w:u w:val="none"/>
          </w:rPr>
          <w:t>Panduit Corp</w:t>
        </w:r>
      </w:hyperlink>
      <w:r>
        <w:rPr>
          <w:rFonts w:ascii="Trebuchet MS" w:hAnsi="Trebuchet MS"/>
          <w:szCs w:val="22"/>
        </w:rPr>
        <w:t>.</w:t>
      </w:r>
    </w:p>
    <w:p>
      <w:pPr>
        <w:pStyle w:val="PR2"/>
        <w:numPr>
          <w:ilvl w:val="5"/>
          <w:numId w:val="1"/>
        </w:numPr>
        <w:rPr>
          <w:rFonts w:ascii="Trebuchet MS" w:hAnsi="Trebuchet MS"/>
          <w:szCs w:val="22"/>
        </w:rPr>
      </w:pPr>
      <w:hyperlink r:id="rId10">
        <w:r>
          <w:rPr>
            <w:rStyle w:val="Style9"/>
            <w:rFonts w:ascii="Trebuchet MS" w:hAnsi="Trebuchet MS"/>
            <w:color w:val="auto"/>
            <w:szCs w:val="22"/>
            <w:u w:val="none"/>
          </w:rPr>
          <w:t>Tyco Electronics Corp</w:t>
        </w:r>
      </w:hyperlink>
      <w:r>
        <w:rPr>
          <w:rFonts w:ascii="Trebuchet MS" w:hAnsi="Trebuchet MS"/>
          <w:szCs w:val="22"/>
        </w:rPr>
        <w:t>.</w:t>
      </w:r>
    </w:p>
    <w:p>
      <w:pPr>
        <w:pStyle w:val="PR1"/>
        <w:numPr>
          <w:ilvl w:val="4"/>
          <w:numId w:val="1"/>
        </w:numPr>
        <w:rPr>
          <w:rFonts w:ascii="Trebuchet MS" w:hAnsi="Trebuchet MS"/>
          <w:szCs w:val="22"/>
        </w:rPr>
      </w:pPr>
      <w:r>
        <w:rPr>
          <w:rFonts w:ascii="Trebuchet MS" w:hAnsi="Trebuchet MS"/>
          <w:szCs w:val="22"/>
        </w:rPr>
        <w:t>Compression Wire Connectors: Crimp-and-compress connectors that bond to the conductor when the connector is compressed around the conductor. Comply with UL 467.</w:t>
      </w:r>
    </w:p>
    <w:p>
      <w:pPr>
        <w:pStyle w:val="PR2"/>
        <w:numPr>
          <w:ilvl w:val="5"/>
          <w:numId w:val="1"/>
        </w:numPr>
        <w:spacing w:before="240" w:after="0"/>
        <w:rPr>
          <w:rFonts w:ascii="Trebuchet MS" w:hAnsi="Trebuchet MS"/>
          <w:szCs w:val="22"/>
        </w:rPr>
      </w:pPr>
      <w:r>
        <w:rPr>
          <w:rFonts w:ascii="Trebuchet MS" w:hAnsi="Trebuchet MS"/>
          <w:szCs w:val="22"/>
        </w:rPr>
        <w:t>Electroplated tinned copper, C and H shaped.</w:t>
      </w:r>
    </w:p>
    <w:p>
      <w:pPr>
        <w:pStyle w:val="PR1"/>
        <w:numPr>
          <w:ilvl w:val="4"/>
          <w:numId w:val="1"/>
        </w:numPr>
        <w:rPr>
          <w:rFonts w:ascii="Trebuchet MS" w:hAnsi="Trebuchet MS"/>
          <w:szCs w:val="22"/>
        </w:rPr>
      </w:pPr>
      <w:r>
        <w:rPr>
          <w:rFonts w:ascii="Trebuchet MS" w:hAnsi="Trebuchet MS"/>
          <w:szCs w:val="22"/>
        </w:rPr>
        <w:t xml:space="preserve">Busbar Connectors: Cast silicon bronze, solderless compression or exothermic-type, mechanical connector; with a long barrel and two holes spaced on </w:t>
      </w:r>
      <w:r>
        <w:rPr>
          <w:rStyle w:val="IP"/>
          <w:rFonts w:ascii="Trebuchet MS" w:hAnsi="Trebuchet MS"/>
          <w:color w:val="auto"/>
          <w:szCs w:val="22"/>
        </w:rPr>
        <w:t>5/8 or 1-inch</w:t>
      </w:r>
      <w:r>
        <w:rPr>
          <w:rStyle w:val="SI"/>
          <w:rFonts w:ascii="Trebuchet MS" w:hAnsi="Trebuchet MS"/>
          <w:color w:val="auto"/>
          <w:szCs w:val="22"/>
        </w:rPr>
        <w:t xml:space="preserve"> </w:t>
      </w:r>
      <w:r>
        <w:rPr>
          <w:rFonts w:ascii="Trebuchet MS" w:hAnsi="Trebuchet MS"/>
          <w:szCs w:val="22"/>
        </w:rPr>
        <w:t>centers for a two-bolt connection to the busbar.</w:t>
      </w:r>
    </w:p>
    <w:p>
      <w:pPr>
        <w:pStyle w:val="PR1"/>
        <w:numPr>
          <w:ilvl w:val="4"/>
          <w:numId w:val="1"/>
        </w:numPr>
        <w:rPr>
          <w:rFonts w:ascii="Trebuchet MS" w:hAnsi="Trebuchet MS"/>
          <w:szCs w:val="22"/>
        </w:rPr>
      </w:pPr>
      <w:r>
        <w:rPr>
          <w:rFonts w:ascii="Trebuchet MS" w:hAnsi="Trebuchet MS"/>
          <w:szCs w:val="22"/>
        </w:rPr>
        <w:t>Welded Connectors: Exothermic-welding kits of types recommended by kit manufacturer for materials being joined and installation conditions.</w:t>
      </w:r>
    </w:p>
    <w:p>
      <w:pPr>
        <w:pStyle w:val="ART"/>
        <w:numPr>
          <w:ilvl w:val="3"/>
          <w:numId w:val="1"/>
        </w:numPr>
        <w:rPr>
          <w:rFonts w:ascii="Trebuchet MS" w:hAnsi="Trebuchet MS"/>
          <w:szCs w:val="22"/>
        </w:rPr>
      </w:pPr>
      <w:r>
        <w:rPr>
          <w:rFonts w:ascii="Trebuchet MS" w:hAnsi="Trebuchet MS"/>
          <w:szCs w:val="22"/>
        </w:rPr>
        <w:t>GROUNDING BUSBARS</w:t>
      </w:r>
    </w:p>
    <w:p>
      <w:pPr>
        <w:pStyle w:val="CMT"/>
        <w:rPr>
          <w:rFonts w:ascii="Trebuchet MS" w:hAnsi="Trebuchet MS"/>
          <w:szCs w:val="22"/>
        </w:rPr>
      </w:pPr>
      <w:r>
        <w:rPr>
          <w:rFonts w:ascii="Trebuchet MS" w:hAnsi="Trebuchet MS"/>
          <w:szCs w:val="22"/>
        </w:rPr>
        <w:t>Retain this article if size of grounding bus and mounting details are not indicated on Drawings. The default dimension is recommended by BICSI for telecommunications busbar.</w:t>
      </w:r>
    </w:p>
    <w:p>
      <w:pPr>
        <w:pStyle w:val="CMT"/>
        <w:rPr>
          <w:rFonts w:ascii="Trebuchet MS" w:hAnsi="Trebuchet MS"/>
          <w:szCs w:val="22"/>
        </w:rPr>
      </w:pPr>
      <w:r>
        <w:rPr>
          <w:rFonts w:ascii="Trebuchet MS" w:hAnsi="Trebuchet MS"/>
          <w:szCs w:val="22"/>
        </w:rPr>
        <w:t>Retain "Manufacturers" Paragraph and list of manufacturers below to require products from manufacturers listed or a comparable product from other manufacturers.</w:t>
      </w:r>
    </w:p>
    <w:p>
      <w:pPr>
        <w:pStyle w:val="PR1"/>
        <w:numPr>
          <w:ilvl w:val="4"/>
          <w:numId w:val="1"/>
        </w:numPr>
        <w:rPr>
          <w:rFonts w:ascii="Trebuchet MS" w:hAnsi="Trebuchet MS"/>
          <w:szCs w:val="22"/>
        </w:rPr>
      </w:pPr>
      <w:r>
        <w:rPr>
          <w:rFonts w:ascii="Trebuchet MS" w:hAnsi="Trebuchet MS"/>
          <w:szCs w:val="22"/>
        </w:rPr>
        <w:t>Manufacturers: Subject to compliance with requirements, available manufacturers offering products that may be incorporated into the Work include, but are not limited to, the following:</w:t>
      </w:r>
    </w:p>
    <w:p>
      <w:pPr>
        <w:pStyle w:val="CMT"/>
        <w:rPr>
          <w:rFonts w:ascii="Trebuchet MS" w:hAnsi="Trebuchet MS"/>
          <w:color w:val="auto"/>
          <w:szCs w:val="22"/>
        </w:rPr>
      </w:pPr>
      <w:r>
        <w:rPr>
          <w:rFonts w:ascii="Trebuchet MS" w:hAnsi="Trebuchet MS"/>
          <w:color w:val="auto"/>
          <w:szCs w:val="22"/>
        </w:rPr>
        <w:t>Retain "Basis-of-Design Product" Paragraph and list of manufacturers below to identify a specific product or a comparable product from manufacturers listed. Retain option and delete insert note if manufacturer's name and model number are indicated on Drawings.</w:t>
      </w:r>
    </w:p>
    <w:p>
      <w:pPr>
        <w:pStyle w:val="PR2"/>
        <w:numPr>
          <w:ilvl w:val="5"/>
          <w:numId w:val="1"/>
        </w:numPr>
        <w:spacing w:before="240" w:after="0"/>
        <w:rPr>
          <w:rFonts w:ascii="Trebuchet MS" w:hAnsi="Trebuchet MS"/>
          <w:szCs w:val="22"/>
        </w:rPr>
      </w:pPr>
      <w:hyperlink r:id="rId11">
        <w:r>
          <w:rPr>
            <w:rStyle w:val="Style9"/>
            <w:rFonts w:ascii="Trebuchet MS" w:hAnsi="Trebuchet MS"/>
            <w:color w:val="auto"/>
            <w:szCs w:val="22"/>
            <w:u w:val="single"/>
          </w:rPr>
          <w:t>Chatsworth Products, Inc</w:t>
        </w:r>
      </w:hyperlink>
      <w:r>
        <w:rPr>
          <w:rFonts w:ascii="Trebuchet MS" w:hAnsi="Trebuchet MS"/>
          <w:szCs w:val="22"/>
        </w:rPr>
        <w:t>.</w:t>
      </w:r>
    </w:p>
    <w:p>
      <w:pPr>
        <w:pStyle w:val="PR2"/>
        <w:numPr>
          <w:ilvl w:val="5"/>
          <w:numId w:val="1"/>
        </w:numPr>
        <w:rPr>
          <w:rFonts w:ascii="Trebuchet MS" w:hAnsi="Trebuchet MS"/>
          <w:szCs w:val="22"/>
        </w:rPr>
      </w:pPr>
      <w:hyperlink r:id="rId12">
        <w:r>
          <w:rPr>
            <w:rStyle w:val="Style9"/>
            <w:rFonts w:ascii="Trebuchet MS" w:hAnsi="Trebuchet MS"/>
            <w:color w:val="auto"/>
            <w:szCs w:val="22"/>
            <w:u w:val="single"/>
          </w:rPr>
          <w:t>Harger Lightning and Grounding</w:t>
        </w:r>
      </w:hyperlink>
      <w:r>
        <w:rPr>
          <w:rFonts w:ascii="Trebuchet MS" w:hAnsi="Trebuchet MS"/>
          <w:szCs w:val="22"/>
        </w:rPr>
        <w:t>.</w:t>
      </w:r>
    </w:p>
    <w:p>
      <w:pPr>
        <w:pStyle w:val="PR2"/>
        <w:numPr>
          <w:ilvl w:val="5"/>
          <w:numId w:val="1"/>
        </w:numPr>
        <w:rPr>
          <w:rFonts w:ascii="Trebuchet MS" w:hAnsi="Trebuchet MS"/>
          <w:szCs w:val="22"/>
        </w:rPr>
      </w:pPr>
      <w:hyperlink r:id="rId13">
        <w:r>
          <w:rPr>
            <w:rStyle w:val="Style9"/>
            <w:rFonts w:ascii="Trebuchet MS" w:hAnsi="Trebuchet MS"/>
            <w:color w:val="auto"/>
            <w:szCs w:val="22"/>
            <w:u w:val="single"/>
          </w:rPr>
          <w:t>Panduit Corp</w:t>
        </w:r>
      </w:hyperlink>
      <w:r>
        <w:rPr>
          <w:rFonts w:ascii="Trebuchet MS" w:hAnsi="Trebuchet MS"/>
          <w:szCs w:val="22"/>
        </w:rPr>
        <w:t>.</w:t>
      </w:r>
    </w:p>
    <w:p>
      <w:pPr>
        <w:pStyle w:val="CMT"/>
        <w:rPr>
          <w:rFonts w:ascii="Trebuchet MS" w:hAnsi="Trebuchet MS"/>
          <w:color w:val="auto"/>
          <w:szCs w:val="22"/>
        </w:rPr>
      </w:pPr>
      <w:r>
        <w:rPr>
          <w:rFonts w:ascii="Trebuchet MS" w:hAnsi="Trebuchet MS"/>
          <w:color w:val="auto"/>
          <w:szCs w:val="22"/>
        </w:rPr>
        <w:t>Indicate length of TMGB on Drawings.</w:t>
      </w:r>
    </w:p>
    <w:p>
      <w:pPr>
        <w:pStyle w:val="PR1"/>
        <w:numPr>
          <w:ilvl w:val="4"/>
          <w:numId w:val="1"/>
        </w:numPr>
        <w:rPr>
          <w:rFonts w:ascii="Trebuchet MS" w:hAnsi="Trebuchet MS"/>
          <w:szCs w:val="22"/>
        </w:rPr>
      </w:pPr>
      <w:r>
        <w:rPr>
          <w:rFonts w:ascii="Trebuchet MS" w:hAnsi="Trebuchet MS"/>
          <w:szCs w:val="22"/>
        </w:rPr>
        <w:t xml:space="preserve">TMGB: Predrilled, wall-mounted, rectangular bars of hard-drawn solid copper, </w:t>
      </w:r>
      <w:r>
        <w:rPr>
          <w:rStyle w:val="IP"/>
          <w:rFonts w:ascii="Trebuchet MS" w:hAnsi="Trebuchet MS"/>
          <w:color w:val="auto"/>
          <w:szCs w:val="22"/>
        </w:rPr>
        <w:t>1/4 by 4 inches</w:t>
      </w:r>
      <w:r>
        <w:rPr>
          <w:rStyle w:val="SI"/>
          <w:rFonts w:ascii="Trebuchet MS" w:hAnsi="Trebuchet MS"/>
          <w:color w:val="auto"/>
          <w:szCs w:val="22"/>
        </w:rPr>
        <w:t xml:space="preserve"> in</w:t>
      </w:r>
      <w:r>
        <w:rPr>
          <w:rFonts w:ascii="Trebuchet MS" w:hAnsi="Trebuchet MS"/>
          <w:szCs w:val="22"/>
        </w:rPr>
        <w:t xml:space="preserve"> cross section, length as indicated on Drawings. The busbar shall be NRTL listed for use as TMGB and shall comply with J-STD-607-A.</w:t>
      </w:r>
    </w:p>
    <w:p>
      <w:pPr>
        <w:pStyle w:val="PR2"/>
        <w:numPr>
          <w:ilvl w:val="5"/>
          <w:numId w:val="1"/>
        </w:numPr>
        <w:spacing w:before="240" w:after="0"/>
        <w:rPr>
          <w:rFonts w:ascii="Trebuchet MS" w:hAnsi="Trebuchet MS"/>
          <w:szCs w:val="22"/>
        </w:rPr>
      </w:pPr>
      <w:r>
        <w:rPr>
          <w:rFonts w:ascii="Trebuchet MS" w:hAnsi="Trebuchet MS"/>
          <w:szCs w:val="22"/>
        </w:rPr>
        <w:t>Predrilling shall be with holes for use with lugs specified in this Section.</w:t>
      </w:r>
    </w:p>
    <w:p>
      <w:pPr>
        <w:pStyle w:val="CMT"/>
        <w:rPr>
          <w:rFonts w:ascii="Trebuchet MS" w:hAnsi="Trebuchet MS"/>
          <w:color w:val="auto"/>
          <w:szCs w:val="22"/>
        </w:rPr>
      </w:pPr>
      <w:r>
        <w:rPr>
          <w:rFonts w:ascii="Trebuchet MS" w:hAnsi="Trebuchet MS"/>
          <w:color w:val="auto"/>
          <w:szCs w:val="22"/>
        </w:rPr>
        <w:t>In "Mounting Hardware" Subparagraph below, the minimum required clearance is 2 inches (50 mm). 4 inches (100 mm) is typical in the industry. Indicate busbar length on Drawings.</w:t>
      </w:r>
    </w:p>
    <w:p>
      <w:pPr>
        <w:pStyle w:val="PR2"/>
        <w:numPr>
          <w:ilvl w:val="5"/>
          <w:numId w:val="1"/>
        </w:numPr>
        <w:rPr>
          <w:rFonts w:ascii="Trebuchet MS" w:hAnsi="Trebuchet MS"/>
          <w:szCs w:val="22"/>
        </w:rPr>
      </w:pPr>
      <w:r>
        <w:rPr>
          <w:rFonts w:ascii="Trebuchet MS" w:hAnsi="Trebuchet MS"/>
          <w:szCs w:val="22"/>
        </w:rPr>
        <w:t xml:space="preserve">Mounting Hardware: Stand-off brackets that provide a </w:t>
      </w:r>
      <w:r>
        <w:rPr>
          <w:rStyle w:val="IP"/>
          <w:rFonts w:ascii="Trebuchet MS" w:hAnsi="Trebuchet MS"/>
          <w:color w:val="auto"/>
          <w:szCs w:val="22"/>
        </w:rPr>
        <w:t>4-inch.</w:t>
      </w:r>
      <w:r>
        <w:rPr>
          <w:rStyle w:val="SI"/>
          <w:rFonts w:ascii="Trebuchet MS" w:hAnsi="Trebuchet MS"/>
          <w:color w:val="auto"/>
          <w:szCs w:val="22"/>
        </w:rPr>
        <w:t xml:space="preserve">  </w:t>
      </w:r>
    </w:p>
    <w:p>
      <w:pPr>
        <w:pStyle w:val="PR2"/>
        <w:numPr>
          <w:ilvl w:val="5"/>
          <w:numId w:val="1"/>
        </w:numPr>
        <w:rPr>
          <w:rFonts w:ascii="Trebuchet MS" w:hAnsi="Trebuchet MS"/>
          <w:szCs w:val="22"/>
        </w:rPr>
      </w:pPr>
      <w:r>
        <w:rPr>
          <w:rFonts w:ascii="Trebuchet MS" w:hAnsi="Trebuchet MS"/>
          <w:szCs w:val="22"/>
        </w:rPr>
        <w:t>Stand-off insulators for mounting shall be Lexan or PVC. Comply with UL 891 for use in 600-V switchboards, impulse tested at 5000 V.</w:t>
      </w:r>
    </w:p>
    <w:p>
      <w:pPr>
        <w:pStyle w:val="PR1"/>
        <w:numPr>
          <w:ilvl w:val="4"/>
          <w:numId w:val="1"/>
        </w:numPr>
        <w:rPr>
          <w:rFonts w:ascii="Trebuchet MS" w:hAnsi="Trebuchet MS"/>
          <w:szCs w:val="22"/>
        </w:rPr>
      </w:pPr>
      <w:r>
        <w:rPr>
          <w:rFonts w:ascii="Trebuchet MS" w:hAnsi="Trebuchet MS"/>
          <w:szCs w:val="22"/>
        </w:rPr>
        <w:t xml:space="preserve">TGB: Predrilled rectangular bars of hard-drawn solid copper, </w:t>
      </w:r>
      <w:r>
        <w:rPr>
          <w:rStyle w:val="IP"/>
          <w:rFonts w:ascii="Trebuchet MS" w:hAnsi="Trebuchet MS"/>
          <w:color w:val="auto"/>
          <w:szCs w:val="22"/>
        </w:rPr>
        <w:t>1/4 by 2 inches</w:t>
      </w:r>
      <w:r>
        <w:rPr>
          <w:rFonts w:ascii="Trebuchet MS" w:hAnsi="Trebuchet MS"/>
          <w:szCs w:val="22"/>
        </w:rPr>
        <w:t xml:space="preserve"> in cross section, length as indicated on Drawings. The busbar shall be for wall mounting, shall be NRTL listed as complying with UL 467, and shall comply with J-STD-607-A.</w:t>
      </w:r>
    </w:p>
    <w:p>
      <w:pPr>
        <w:pStyle w:val="PR2"/>
        <w:numPr>
          <w:ilvl w:val="5"/>
          <w:numId w:val="1"/>
        </w:numPr>
        <w:spacing w:before="240" w:after="0"/>
        <w:rPr>
          <w:rFonts w:ascii="Trebuchet MS" w:hAnsi="Trebuchet MS"/>
          <w:szCs w:val="22"/>
        </w:rPr>
      </w:pPr>
      <w:r>
        <w:rPr>
          <w:rFonts w:ascii="Trebuchet MS" w:hAnsi="Trebuchet MS"/>
          <w:szCs w:val="22"/>
        </w:rPr>
        <w:t>Predrilling shall be with holes for use with lugs specified in this Section.</w:t>
      </w:r>
    </w:p>
    <w:p>
      <w:pPr>
        <w:pStyle w:val="PR2"/>
        <w:numPr>
          <w:ilvl w:val="5"/>
          <w:numId w:val="1"/>
        </w:numPr>
        <w:rPr>
          <w:rFonts w:ascii="Trebuchet MS" w:hAnsi="Trebuchet MS"/>
          <w:szCs w:val="22"/>
        </w:rPr>
      </w:pPr>
      <w:r>
        <w:rPr>
          <w:rFonts w:ascii="Trebuchet MS" w:hAnsi="Trebuchet MS"/>
          <w:szCs w:val="22"/>
        </w:rPr>
        <w:t xml:space="preserve">Mounting Hardware: Stand-off brackets that provide at least a </w:t>
      </w:r>
      <w:r>
        <w:rPr>
          <w:rStyle w:val="IP"/>
          <w:rFonts w:ascii="Trebuchet MS" w:hAnsi="Trebuchet MS"/>
          <w:color w:val="auto"/>
          <w:szCs w:val="22"/>
        </w:rPr>
        <w:t>2-inch</w:t>
      </w:r>
      <w:r>
        <w:rPr>
          <w:rStyle w:val="SI"/>
          <w:rFonts w:ascii="Trebuchet MS" w:hAnsi="Trebuchet MS"/>
          <w:color w:val="auto"/>
          <w:szCs w:val="22"/>
        </w:rPr>
        <w:t xml:space="preserve">  </w:t>
      </w:r>
    </w:p>
    <w:p>
      <w:pPr>
        <w:pStyle w:val="PR2"/>
        <w:numPr>
          <w:ilvl w:val="5"/>
          <w:numId w:val="1"/>
        </w:numPr>
        <w:rPr>
          <w:rFonts w:ascii="Trebuchet MS" w:hAnsi="Trebuchet MS"/>
          <w:szCs w:val="22"/>
        </w:rPr>
      </w:pPr>
      <w:r>
        <w:rPr>
          <w:rFonts w:ascii="Trebuchet MS" w:hAnsi="Trebuchet MS"/>
          <w:szCs w:val="22"/>
        </w:rPr>
        <w:t>Stand-off insulators for mounting shall be Lexan or PVC. Comply with UL 891 for use in 600-V switchboards, impulse tested at 5000 V.</w:t>
      </w:r>
    </w:p>
    <w:p>
      <w:pPr>
        <w:pStyle w:val="CMT"/>
        <w:rPr>
          <w:rFonts w:ascii="Trebuchet MS" w:hAnsi="Trebuchet MS"/>
          <w:color w:val="auto"/>
          <w:szCs w:val="22"/>
        </w:rPr>
      </w:pPr>
      <w:r>
        <w:rPr>
          <w:rFonts w:ascii="Trebuchet MS" w:hAnsi="Trebuchet MS"/>
          <w:color w:val="auto"/>
          <w:szCs w:val="22"/>
        </w:rPr>
        <w:t>Retain "Rack and Cabinet Grounding Busbars" Paragraph below if equipment cabinets and racks are not specified with grounding busbars.</w:t>
      </w:r>
    </w:p>
    <w:p>
      <w:pPr>
        <w:pStyle w:val="PR1"/>
        <w:numPr>
          <w:ilvl w:val="4"/>
          <w:numId w:val="1"/>
        </w:numPr>
        <w:rPr>
          <w:rFonts w:ascii="Trebuchet MS" w:hAnsi="Trebuchet MS"/>
          <w:szCs w:val="22"/>
        </w:rPr>
      </w:pPr>
      <w:r>
        <w:rPr>
          <w:rFonts w:ascii="Trebuchet MS" w:hAnsi="Trebuchet MS"/>
          <w:szCs w:val="22"/>
        </w:rPr>
        <w:t>Rack and Cabinet Grounding Busbars: Rectangular bars of hard-drawn solid copper, accepting conductors ranging from No. 14 to No. 2/0 AWG, NRTL listed as complying with UL 467, and complying with J-STD-607-A. Predrilling shall be with holes for use with lugs specified in this Section.</w:t>
      </w:r>
    </w:p>
    <w:p>
      <w:pPr>
        <w:pStyle w:val="PR2"/>
        <w:numPr>
          <w:ilvl w:val="5"/>
          <w:numId w:val="1"/>
        </w:numPr>
        <w:spacing w:before="240" w:after="0"/>
        <w:rPr>
          <w:rFonts w:ascii="Trebuchet MS" w:hAnsi="Trebuchet MS"/>
          <w:szCs w:val="22"/>
        </w:rPr>
      </w:pPr>
      <w:r>
        <w:rPr>
          <w:rFonts w:ascii="Trebuchet MS" w:hAnsi="Trebuchet MS"/>
          <w:szCs w:val="22"/>
        </w:rPr>
        <w:t>Cabinet-Mounted Busbar: Terminal block, with stainless-steel or copper-plated hardware for attachment to the cabinet.</w:t>
      </w:r>
    </w:p>
    <w:p>
      <w:pPr>
        <w:pStyle w:val="PR2"/>
        <w:numPr>
          <w:ilvl w:val="5"/>
          <w:numId w:val="1"/>
        </w:numPr>
        <w:rPr>
          <w:rFonts w:ascii="Trebuchet MS" w:hAnsi="Trebuchet MS"/>
          <w:szCs w:val="22"/>
        </w:rPr>
      </w:pPr>
      <w:r>
        <w:rPr>
          <w:rFonts w:ascii="Trebuchet MS" w:hAnsi="Trebuchet MS"/>
          <w:szCs w:val="22"/>
        </w:rPr>
        <w:t xml:space="preserve">Rack-Mounted Horizontal Busbar: Designed for mounting in </w:t>
      </w:r>
      <w:r>
        <w:rPr>
          <w:rStyle w:val="IP"/>
          <w:rFonts w:ascii="Trebuchet MS" w:hAnsi="Trebuchet MS"/>
          <w:color w:val="auto"/>
          <w:szCs w:val="22"/>
        </w:rPr>
        <w:t>19 or 23-inch</w:t>
      </w:r>
      <w:r>
        <w:rPr>
          <w:rStyle w:val="SI"/>
          <w:rFonts w:ascii="Trebuchet MS" w:hAnsi="Trebuchet MS"/>
          <w:color w:val="auto"/>
          <w:szCs w:val="22"/>
        </w:rPr>
        <w:t xml:space="preserve">  </w:t>
      </w:r>
      <w:r>
        <w:rPr>
          <w:rFonts w:ascii="Trebuchet MS" w:hAnsi="Trebuchet MS"/>
          <w:szCs w:val="22"/>
        </w:rPr>
        <w:t xml:space="preserve"> equipment racks. Include a copper splice bar for transitioning to an adjoining rack, and stainless-steel or copper-plated hardware for attachment to the rack.</w:t>
      </w:r>
    </w:p>
    <w:p>
      <w:pPr>
        <w:pStyle w:val="PR2"/>
        <w:numPr>
          <w:ilvl w:val="5"/>
          <w:numId w:val="1"/>
        </w:numPr>
        <w:rPr>
          <w:rFonts w:ascii="Trebuchet MS" w:hAnsi="Trebuchet MS"/>
          <w:szCs w:val="22"/>
        </w:rPr>
      </w:pPr>
      <w:r>
        <w:rPr>
          <w:rFonts w:ascii="Trebuchet MS" w:hAnsi="Trebuchet MS"/>
          <w:szCs w:val="22"/>
        </w:rPr>
        <w:t xml:space="preserve">Rack-Mounted Vertical Busbar: </w:t>
      </w:r>
      <w:r>
        <w:rPr>
          <w:rStyle w:val="IP"/>
          <w:rFonts w:ascii="Trebuchet MS" w:hAnsi="Trebuchet MS"/>
          <w:color w:val="auto"/>
          <w:szCs w:val="22"/>
        </w:rPr>
        <w:t>72 or 36 inches</w:t>
      </w:r>
      <w:r>
        <w:rPr>
          <w:rStyle w:val="SI"/>
          <w:rFonts w:ascii="Trebuchet MS" w:hAnsi="Trebuchet MS"/>
          <w:color w:val="auto"/>
          <w:szCs w:val="22"/>
        </w:rPr>
        <w:t xml:space="preserve"> stainless</w:t>
      </w:r>
      <w:r>
        <w:rPr>
          <w:rFonts w:ascii="Trebuchet MS" w:hAnsi="Trebuchet MS"/>
          <w:szCs w:val="22"/>
        </w:rPr>
        <w:t>-steel or copper-plated hardware for attachment to the rack.</w:t>
      </w:r>
    </w:p>
    <w:p>
      <w:pPr>
        <w:pStyle w:val="ART"/>
        <w:numPr>
          <w:ilvl w:val="3"/>
          <w:numId w:val="1"/>
        </w:numPr>
        <w:rPr>
          <w:rFonts w:ascii="Trebuchet MS" w:hAnsi="Trebuchet MS"/>
          <w:szCs w:val="22"/>
        </w:rPr>
      </w:pPr>
      <w:r>
        <w:rPr>
          <w:rFonts w:ascii="Trebuchet MS" w:hAnsi="Trebuchet MS"/>
          <w:szCs w:val="22"/>
        </w:rPr>
        <w:t>GROUND RODS</w:t>
      </w:r>
    </w:p>
    <w:p>
      <w:pPr>
        <w:pStyle w:val="CMT"/>
        <w:rPr>
          <w:rFonts w:ascii="Trebuchet MS" w:hAnsi="Trebuchet MS"/>
          <w:color w:val="auto"/>
          <w:szCs w:val="22"/>
        </w:rPr>
      </w:pPr>
      <w:r>
        <w:rPr>
          <w:rFonts w:ascii="Trebuchet MS" w:hAnsi="Trebuchet MS"/>
          <w:color w:val="auto"/>
          <w:szCs w:val="22"/>
        </w:rPr>
        <w:t>Retain this article if ground rods incidental to ground rings and duct banks are required. Indicate ground rod locations and connections on Drawings. See "Grounding Products" Article in the Evaluations for discussion on alternative materials.</w:t>
      </w:r>
    </w:p>
    <w:p>
      <w:pPr>
        <w:pStyle w:val="CMT"/>
        <w:rPr>
          <w:rFonts w:ascii="Trebuchet MS" w:hAnsi="Trebuchet MS"/>
          <w:color w:val="auto"/>
          <w:szCs w:val="22"/>
        </w:rPr>
      </w:pPr>
      <w:r>
        <w:rPr>
          <w:rFonts w:ascii="Trebuchet MS" w:hAnsi="Trebuchet MS"/>
          <w:color w:val="auto"/>
          <w:szCs w:val="22"/>
        </w:rPr>
        <w:t>The installation of grounding electrode system for the alternating-current (ac) power system, which includes ground rods, ground rings, metal underground water pipes, metal building frames, concrete-encased electrodes, and pipe and plate electrodes, is specified in Section 260526 "Grounding and Bonding for Electrical Systems." The grounding and bonding system of this Section is connected to the grounding and bonding of the ac power system with the BCT from the TMBG specified in "Grounding Electrode System" Article.</w:t>
      </w:r>
    </w:p>
    <w:p>
      <w:pPr>
        <w:pStyle w:val="CMT"/>
        <w:rPr>
          <w:rFonts w:ascii="Trebuchet MS" w:hAnsi="Trebuchet MS"/>
          <w:color w:val="auto"/>
          <w:szCs w:val="22"/>
        </w:rPr>
      </w:pPr>
      <w:r>
        <w:rPr>
          <w:rFonts w:ascii="Trebuchet MS" w:hAnsi="Trebuchet MS"/>
          <w:color w:val="auto"/>
          <w:szCs w:val="22"/>
        </w:rPr>
        <w:t>Retain "Manufacturers" Paragraph and list of manufacturers below to require products from manufacturers listed or a comparable product from other manufacturers.</w:t>
      </w:r>
    </w:p>
    <w:p>
      <w:pPr>
        <w:pStyle w:val="PR1"/>
        <w:numPr>
          <w:ilvl w:val="4"/>
          <w:numId w:val="1"/>
        </w:numPr>
        <w:rPr>
          <w:rFonts w:ascii="Trebuchet MS" w:hAnsi="Trebuchet MS"/>
          <w:szCs w:val="22"/>
        </w:rPr>
      </w:pPr>
      <w:hyperlink r:id="rId14">
        <w:r>
          <w:rPr>
            <w:rStyle w:val="Style9"/>
            <w:rFonts w:ascii="Trebuchet MS" w:hAnsi="Trebuchet MS"/>
            <w:color w:val="auto"/>
            <w:szCs w:val="22"/>
            <w:u w:val="single"/>
          </w:rPr>
          <w:t>Manufacturers</w:t>
        </w:r>
      </w:hyperlink>
      <w:r>
        <w:rPr>
          <w:rFonts w:ascii="Trebuchet MS" w:hAnsi="Trebuchet MS"/>
          <w:szCs w:val="22"/>
        </w:rPr>
        <w:t>: Subject to compliance with requirements, available manufacturers offering products that may be incorporated into the Work include, but are not limited to, the following:</w:t>
      </w:r>
    </w:p>
    <w:p>
      <w:pPr>
        <w:pStyle w:val="PR2"/>
        <w:numPr>
          <w:ilvl w:val="5"/>
          <w:numId w:val="1"/>
        </w:numPr>
        <w:spacing w:before="240" w:after="0"/>
        <w:rPr>
          <w:rFonts w:ascii="Trebuchet MS" w:hAnsi="Trebuchet MS"/>
          <w:szCs w:val="22"/>
        </w:rPr>
      </w:pPr>
      <w:hyperlink r:id="rId15">
        <w:r>
          <w:rPr>
            <w:rStyle w:val="Style9"/>
            <w:rFonts w:ascii="Trebuchet MS" w:hAnsi="Trebuchet MS"/>
            <w:color w:val="auto"/>
            <w:szCs w:val="22"/>
            <w:u w:val="none"/>
          </w:rPr>
          <w:t>Harger Lightning and Grounding</w:t>
        </w:r>
      </w:hyperlink>
      <w:r>
        <w:rPr>
          <w:rFonts w:ascii="Trebuchet MS" w:hAnsi="Trebuchet MS"/>
          <w:szCs w:val="22"/>
        </w:rPr>
        <w:t>.</w:t>
      </w:r>
    </w:p>
    <w:p>
      <w:pPr>
        <w:pStyle w:val="PR2"/>
        <w:numPr>
          <w:ilvl w:val="5"/>
          <w:numId w:val="1"/>
        </w:numPr>
        <w:rPr>
          <w:rFonts w:ascii="Trebuchet MS" w:hAnsi="Trebuchet MS"/>
          <w:szCs w:val="22"/>
        </w:rPr>
      </w:pPr>
      <w:hyperlink r:id="rId16">
        <w:r>
          <w:rPr>
            <w:rStyle w:val="Style9"/>
            <w:rFonts w:ascii="Trebuchet MS" w:hAnsi="Trebuchet MS"/>
            <w:color w:val="auto"/>
            <w:szCs w:val="22"/>
            <w:u w:val="none"/>
          </w:rPr>
          <w:t>Tyco Electronics Corp</w:t>
        </w:r>
      </w:hyperlink>
      <w:r>
        <w:rPr>
          <w:rFonts w:ascii="Trebuchet MS" w:hAnsi="Trebuchet MS"/>
          <w:szCs w:val="22"/>
        </w:rPr>
        <w:t>.</w:t>
      </w:r>
    </w:p>
    <w:p>
      <w:pPr>
        <w:pStyle w:val="PR2"/>
        <w:numPr>
          <w:ilvl w:val="5"/>
          <w:numId w:val="1"/>
        </w:numPr>
        <w:rPr>
          <w:rFonts w:ascii="Trebuchet MS" w:hAnsi="Trebuchet MS"/>
          <w:szCs w:val="22"/>
        </w:rPr>
      </w:pPr>
      <w:r>
        <w:rPr>
          <w:rFonts w:ascii="Trebuchet MS" w:hAnsi="Trebuchet MS"/>
          <w:szCs w:val="22"/>
        </w:rPr>
      </w:r>
    </w:p>
    <w:p>
      <w:pPr>
        <w:pStyle w:val="PR1"/>
        <w:numPr>
          <w:ilvl w:val="4"/>
          <w:numId w:val="1"/>
        </w:numPr>
        <w:rPr>
          <w:rFonts w:ascii="Trebuchet MS" w:hAnsi="Trebuchet MS"/>
          <w:szCs w:val="22"/>
        </w:rPr>
      </w:pPr>
      <w:r>
        <w:rPr>
          <w:rFonts w:ascii="Trebuchet MS" w:hAnsi="Trebuchet MS"/>
          <w:szCs w:val="22"/>
        </w:rPr>
        <w:t xml:space="preserve">Ground Rods: Copper-clad; </w:t>
      </w:r>
      <w:r>
        <w:rPr>
          <w:rStyle w:val="IP"/>
          <w:rFonts w:ascii="Trebuchet MS" w:hAnsi="Trebuchet MS"/>
          <w:color w:val="auto"/>
          <w:szCs w:val="22"/>
        </w:rPr>
        <w:t>5/8 by 96 inches</w:t>
      </w:r>
      <w:r>
        <w:rPr>
          <w:rFonts w:ascii="Trebuchet MS" w:hAnsi="Trebuchet MS"/>
          <w:szCs w:val="22"/>
        </w:rPr>
        <w:t xml:space="preserve"> in diameter.</w:t>
      </w:r>
    </w:p>
    <w:p>
      <w:pPr>
        <w:pStyle w:val="ART"/>
        <w:numPr>
          <w:ilvl w:val="3"/>
          <w:numId w:val="1"/>
        </w:numPr>
        <w:rPr>
          <w:rFonts w:ascii="Trebuchet MS" w:hAnsi="Trebuchet MS"/>
          <w:szCs w:val="22"/>
        </w:rPr>
      </w:pPr>
      <w:r>
        <w:rPr>
          <w:rFonts w:ascii="Trebuchet MS" w:hAnsi="Trebuchet MS"/>
          <w:szCs w:val="22"/>
        </w:rPr>
        <w:t>LABELING</w:t>
      </w:r>
    </w:p>
    <w:p>
      <w:pPr>
        <w:pStyle w:val="CMT"/>
        <w:rPr>
          <w:rFonts w:ascii="Trebuchet MS" w:hAnsi="Trebuchet MS"/>
          <w:color w:val="auto"/>
          <w:szCs w:val="22"/>
        </w:rPr>
      </w:pPr>
      <w:r>
        <w:rPr>
          <w:rFonts w:ascii="Trebuchet MS" w:hAnsi="Trebuchet MS"/>
          <w:color w:val="auto"/>
          <w:szCs w:val="22"/>
        </w:rPr>
        <w:t>Retain "Manufacturers" Paragraph and list of manufacturers below to require products from manufacturers listed or a comparable product from other manufacturers.</w:t>
      </w:r>
    </w:p>
    <w:p>
      <w:pPr>
        <w:pStyle w:val="PR1"/>
        <w:numPr>
          <w:ilvl w:val="4"/>
          <w:numId w:val="1"/>
        </w:numPr>
        <w:rPr>
          <w:rFonts w:ascii="Trebuchet MS" w:hAnsi="Trebuchet MS"/>
          <w:szCs w:val="22"/>
        </w:rPr>
      </w:pPr>
      <w:hyperlink r:id="rId17">
        <w:r>
          <w:rPr>
            <w:rStyle w:val="Style9"/>
            <w:rFonts w:ascii="Trebuchet MS" w:hAnsi="Trebuchet MS"/>
            <w:color w:val="auto"/>
            <w:szCs w:val="22"/>
            <w:u w:val="single"/>
          </w:rPr>
          <w:t>Manufacturers</w:t>
        </w:r>
      </w:hyperlink>
      <w:r>
        <w:rPr>
          <w:rFonts w:ascii="Trebuchet MS" w:hAnsi="Trebuchet MS"/>
          <w:szCs w:val="22"/>
        </w:rPr>
        <w:t>: Subject to compliance with requirements, available manufacturers offering products that may be incorporated into the Work include, but are not limited to, the following:</w:t>
      </w:r>
    </w:p>
    <w:p>
      <w:pPr>
        <w:pStyle w:val="PR2"/>
        <w:numPr>
          <w:ilvl w:val="5"/>
          <w:numId w:val="1"/>
        </w:numPr>
        <w:spacing w:before="240" w:after="0"/>
        <w:rPr>
          <w:rFonts w:ascii="Trebuchet MS" w:hAnsi="Trebuchet MS"/>
          <w:szCs w:val="22"/>
        </w:rPr>
      </w:pPr>
      <w:hyperlink r:id="rId18">
        <w:r>
          <w:rPr>
            <w:rStyle w:val="Style9"/>
            <w:rFonts w:ascii="Trebuchet MS" w:hAnsi="Trebuchet MS"/>
            <w:color w:val="auto"/>
            <w:szCs w:val="22"/>
            <w:u w:val="none"/>
          </w:rPr>
          <w:t>Brother International Corporation</w:t>
        </w:r>
      </w:hyperlink>
      <w:r>
        <w:rPr>
          <w:rFonts w:ascii="Trebuchet MS" w:hAnsi="Trebuchet MS"/>
          <w:szCs w:val="22"/>
        </w:rPr>
        <w:t>.</w:t>
      </w:r>
    </w:p>
    <w:p>
      <w:pPr>
        <w:pStyle w:val="PR2"/>
        <w:numPr>
          <w:ilvl w:val="5"/>
          <w:numId w:val="1"/>
        </w:numPr>
        <w:rPr>
          <w:rFonts w:ascii="Trebuchet MS" w:hAnsi="Trebuchet MS"/>
          <w:szCs w:val="22"/>
        </w:rPr>
      </w:pPr>
      <w:hyperlink r:id="rId19">
        <w:r>
          <w:rPr>
            <w:rStyle w:val="Style9"/>
            <w:rFonts w:ascii="Trebuchet MS" w:hAnsi="Trebuchet MS"/>
            <w:color w:val="auto"/>
            <w:szCs w:val="22"/>
            <w:u w:val="none"/>
          </w:rPr>
          <w:t>HellermannTyton</w:t>
        </w:r>
      </w:hyperlink>
      <w:r>
        <w:rPr>
          <w:rFonts w:ascii="Trebuchet MS" w:hAnsi="Trebuchet MS"/>
          <w:szCs w:val="22"/>
        </w:rPr>
        <w:t>.</w:t>
      </w:r>
    </w:p>
    <w:p>
      <w:pPr>
        <w:pStyle w:val="PR2"/>
        <w:numPr>
          <w:ilvl w:val="5"/>
          <w:numId w:val="1"/>
        </w:numPr>
        <w:rPr>
          <w:rFonts w:ascii="Trebuchet MS" w:hAnsi="Trebuchet MS"/>
          <w:szCs w:val="22"/>
        </w:rPr>
      </w:pPr>
      <w:hyperlink r:id="rId20">
        <w:r>
          <w:rPr>
            <w:rStyle w:val="Style9"/>
            <w:rFonts w:ascii="Trebuchet MS" w:hAnsi="Trebuchet MS"/>
            <w:color w:val="auto"/>
            <w:szCs w:val="22"/>
            <w:u w:val="none"/>
          </w:rPr>
          <w:t>Panduit Corp</w:t>
        </w:r>
      </w:hyperlink>
      <w:r>
        <w:rPr>
          <w:rFonts w:ascii="Trebuchet MS" w:hAnsi="Trebuchet MS"/>
          <w:szCs w:val="22"/>
        </w:rPr>
        <w:t>.</w:t>
      </w:r>
    </w:p>
    <w:p>
      <w:pPr>
        <w:pStyle w:val="PR1"/>
        <w:numPr>
          <w:ilvl w:val="4"/>
          <w:numId w:val="1"/>
        </w:numPr>
        <w:rPr>
          <w:rFonts w:ascii="Trebuchet MS" w:hAnsi="Trebuchet MS"/>
          <w:szCs w:val="22"/>
        </w:rPr>
      </w:pPr>
      <w:r>
        <w:rPr>
          <w:rFonts w:ascii="Trebuchet MS" w:hAnsi="Trebuchet MS"/>
          <w:szCs w:val="22"/>
        </w:rPr>
        <w:t>Comply with TIA/EIA-606-A and UL 969 for a system of labeling materials, including label stocks, laminating adhesives, and inks used by label printers.</w:t>
      </w:r>
    </w:p>
    <w:p>
      <w:pPr>
        <w:pStyle w:val="PR1"/>
        <w:numPr>
          <w:ilvl w:val="4"/>
          <w:numId w:val="1"/>
        </w:numPr>
        <w:rPr>
          <w:rFonts w:ascii="Trebuchet MS" w:hAnsi="Trebuchet MS"/>
          <w:szCs w:val="22"/>
        </w:rPr>
      </w:pPr>
      <w:r>
        <w:rPr>
          <w:rFonts w:ascii="Trebuchet MS" w:hAnsi="Trebuchet MS"/>
          <w:szCs w:val="22"/>
        </w:rPr>
        <w:t xml:space="preserve">Machine printed, in black, by thermal transfer or equivalent process. Minimum letter height shall be </w:t>
      </w:r>
      <w:r>
        <w:rPr>
          <w:rStyle w:val="IP"/>
          <w:rFonts w:ascii="Trebuchet MS" w:hAnsi="Trebuchet MS"/>
          <w:color w:val="auto"/>
          <w:szCs w:val="22"/>
        </w:rPr>
        <w:t>3/8 inch</w:t>
      </w:r>
      <w:r>
        <w:rPr>
          <w:rStyle w:val="SI"/>
          <w:rFonts w:ascii="Trebuchet MS" w:hAnsi="Trebuchet MS"/>
          <w:color w:val="auto"/>
          <w:szCs w:val="22"/>
        </w:rPr>
        <w:t xml:space="preserve">. </w:t>
      </w:r>
      <w:r>
        <w:rPr>
          <w:rFonts w:ascii="Trebuchet MS" w:hAnsi="Trebuchet MS"/>
          <w:szCs w:val="22"/>
        </w:rPr>
        <w:t>Overlay shall provide a weatherproof and UV-resistant seal for label.</w:t>
      </w:r>
    </w:p>
    <w:p>
      <w:pPr>
        <w:pStyle w:val="PRT"/>
        <w:numPr>
          <w:ilvl w:val="0"/>
          <w:numId w:val="1"/>
        </w:numPr>
        <w:rPr>
          <w:rFonts w:ascii="Trebuchet MS" w:hAnsi="Trebuchet MS"/>
          <w:szCs w:val="22"/>
        </w:rPr>
      </w:pPr>
      <w:r>
        <w:rPr>
          <w:rFonts w:ascii="Trebuchet MS" w:hAnsi="Trebuchet MS"/>
          <w:szCs w:val="22"/>
        </w:rPr>
        <w:t>EXECUTION</w:t>
      </w:r>
    </w:p>
    <w:p>
      <w:pPr>
        <w:pStyle w:val="ART"/>
        <w:numPr>
          <w:ilvl w:val="3"/>
          <w:numId w:val="1"/>
        </w:numPr>
        <w:rPr>
          <w:rFonts w:ascii="Trebuchet MS" w:hAnsi="Trebuchet MS"/>
          <w:szCs w:val="22"/>
        </w:rPr>
      </w:pPr>
      <w:r>
        <w:rPr>
          <w:rFonts w:ascii="Trebuchet MS" w:hAnsi="Trebuchet MS"/>
          <w:szCs w:val="22"/>
        </w:rPr>
        <w:t>EXAMINATION</w:t>
      </w:r>
    </w:p>
    <w:p>
      <w:pPr>
        <w:pStyle w:val="CMT"/>
        <w:rPr>
          <w:rFonts w:ascii="Trebuchet MS" w:hAnsi="Trebuchet MS"/>
          <w:szCs w:val="22"/>
        </w:rPr>
      </w:pPr>
      <w:r>
        <w:rPr>
          <w:rFonts w:ascii="Trebuchet MS" w:hAnsi="Trebuchet MS"/>
          <w:szCs w:val="22"/>
        </w:rPr>
        <w:t>See "Ground Resistance" Article in the Evaluations for discussion of ground-resistance levels.</w:t>
      </w:r>
    </w:p>
    <w:p>
      <w:pPr>
        <w:pStyle w:val="PR1"/>
        <w:numPr>
          <w:ilvl w:val="4"/>
          <w:numId w:val="1"/>
        </w:numPr>
        <w:rPr>
          <w:rFonts w:ascii="Trebuchet MS" w:hAnsi="Trebuchet MS"/>
          <w:szCs w:val="22"/>
        </w:rPr>
      </w:pPr>
      <w:r>
        <w:rPr>
          <w:rFonts w:ascii="Trebuchet MS" w:hAnsi="Trebuchet MS"/>
          <w:szCs w:val="22"/>
        </w:rPr>
        <w:t>Examine the ac grounding electrode system and equipment grounding for compliance with requirements for maximum ground-resistance level and other conditions affecting performance of grounding and bonding of the electrical system.</w:t>
      </w:r>
    </w:p>
    <w:p>
      <w:pPr>
        <w:pStyle w:val="PR1"/>
        <w:numPr>
          <w:ilvl w:val="4"/>
          <w:numId w:val="1"/>
        </w:numPr>
        <w:rPr>
          <w:rFonts w:ascii="Trebuchet MS" w:hAnsi="Trebuchet MS"/>
          <w:szCs w:val="22"/>
        </w:rPr>
      </w:pPr>
      <w:r>
        <w:rPr>
          <w:rFonts w:ascii="Trebuchet MS" w:hAnsi="Trebuchet MS"/>
          <w:szCs w:val="22"/>
        </w:rPr>
        <w:t>Inspect the test results of the ac grounding system measured at the point of BCT connection.</w:t>
      </w:r>
    </w:p>
    <w:p>
      <w:pPr>
        <w:pStyle w:val="PR1"/>
        <w:numPr>
          <w:ilvl w:val="4"/>
          <w:numId w:val="1"/>
        </w:numPr>
        <w:rPr>
          <w:rFonts w:ascii="Trebuchet MS" w:hAnsi="Trebuchet MS"/>
          <w:szCs w:val="22"/>
        </w:rPr>
      </w:pPr>
      <w:r>
        <w:rPr>
          <w:rFonts w:ascii="Trebuchet MS" w:hAnsi="Trebuchet MS"/>
          <w:szCs w:val="22"/>
        </w:rPr>
        <w:t>Prepare written report, endorsed by Installer, listing conditions detrimental to performance of the Work.</w:t>
      </w:r>
    </w:p>
    <w:p>
      <w:pPr>
        <w:pStyle w:val="PR1"/>
        <w:numPr>
          <w:ilvl w:val="4"/>
          <w:numId w:val="1"/>
        </w:numPr>
        <w:rPr>
          <w:rFonts w:ascii="Trebuchet MS" w:hAnsi="Trebuchet MS"/>
          <w:szCs w:val="22"/>
        </w:rPr>
      </w:pPr>
      <w:r>
        <w:rPr>
          <w:rFonts w:ascii="Trebuchet MS" w:hAnsi="Trebuchet MS"/>
          <w:szCs w:val="22"/>
        </w:rPr>
        <w:t>Proceed with connection of the BCT only after unsatisfactory conditions have been corrected.</w:t>
      </w:r>
    </w:p>
    <w:p>
      <w:pPr>
        <w:pStyle w:val="ART"/>
        <w:numPr>
          <w:ilvl w:val="3"/>
          <w:numId w:val="1"/>
        </w:numPr>
        <w:rPr>
          <w:rFonts w:ascii="Trebuchet MS" w:hAnsi="Trebuchet MS"/>
          <w:szCs w:val="22"/>
        </w:rPr>
      </w:pPr>
      <w:r>
        <w:rPr>
          <w:rFonts w:ascii="Trebuchet MS" w:hAnsi="Trebuchet MS"/>
          <w:szCs w:val="22"/>
        </w:rPr>
        <w:t>INSTALLATION</w:t>
      </w:r>
    </w:p>
    <w:p>
      <w:pPr>
        <w:pStyle w:val="PR1"/>
        <w:numPr>
          <w:ilvl w:val="4"/>
          <w:numId w:val="1"/>
        </w:numPr>
        <w:rPr>
          <w:rFonts w:ascii="Trebuchet MS" w:hAnsi="Trebuchet MS"/>
          <w:szCs w:val="22"/>
        </w:rPr>
      </w:pPr>
      <w:r>
        <w:rPr>
          <w:rFonts w:ascii="Trebuchet MS" w:hAnsi="Trebuchet MS"/>
          <w:szCs w:val="22"/>
        </w:rPr>
        <w:t>Bonding shall include the ac utility power service entrance, the communications cable entrance, and the grounding electrode system. The bonding of these elements shall form a loop so that each element is connected to at least two others.</w:t>
      </w:r>
    </w:p>
    <w:p>
      <w:pPr>
        <w:pStyle w:val="PR1"/>
        <w:numPr>
          <w:ilvl w:val="4"/>
          <w:numId w:val="1"/>
        </w:numPr>
        <w:rPr>
          <w:rFonts w:ascii="Trebuchet MS" w:hAnsi="Trebuchet MS"/>
          <w:szCs w:val="22"/>
        </w:rPr>
      </w:pPr>
      <w:r>
        <w:rPr>
          <w:rFonts w:ascii="Trebuchet MS" w:hAnsi="Trebuchet MS"/>
          <w:szCs w:val="22"/>
        </w:rPr>
        <w:t>Comply with NECA 1.</w:t>
      </w:r>
    </w:p>
    <w:p>
      <w:pPr>
        <w:pStyle w:val="PR1"/>
        <w:numPr>
          <w:ilvl w:val="4"/>
          <w:numId w:val="1"/>
        </w:numPr>
        <w:rPr>
          <w:rFonts w:ascii="Trebuchet MS" w:hAnsi="Trebuchet MS"/>
          <w:szCs w:val="22"/>
        </w:rPr>
      </w:pPr>
      <w:r>
        <w:rPr>
          <w:rFonts w:ascii="Trebuchet MS" w:hAnsi="Trebuchet MS"/>
          <w:szCs w:val="22"/>
        </w:rPr>
        <w:t>Comply with J-STD-607-A.</w:t>
      </w:r>
    </w:p>
    <w:p>
      <w:pPr>
        <w:pStyle w:val="ART"/>
        <w:numPr>
          <w:ilvl w:val="3"/>
          <w:numId w:val="1"/>
        </w:numPr>
        <w:rPr>
          <w:rFonts w:ascii="Trebuchet MS" w:hAnsi="Trebuchet MS"/>
          <w:szCs w:val="22"/>
        </w:rPr>
      </w:pPr>
      <w:r>
        <w:rPr>
          <w:rFonts w:ascii="Trebuchet MS" w:hAnsi="Trebuchet MS"/>
          <w:szCs w:val="22"/>
        </w:rPr>
        <w:t>APPLICATION</w:t>
      </w:r>
    </w:p>
    <w:p>
      <w:pPr>
        <w:pStyle w:val="PR1"/>
        <w:numPr>
          <w:ilvl w:val="4"/>
          <w:numId w:val="1"/>
        </w:numPr>
        <w:rPr>
          <w:rFonts w:ascii="Trebuchet MS" w:hAnsi="Trebuchet MS"/>
          <w:szCs w:val="22"/>
        </w:rPr>
      </w:pPr>
      <w:r>
        <w:rPr>
          <w:rFonts w:ascii="Trebuchet MS" w:hAnsi="Trebuchet MS"/>
          <w:szCs w:val="22"/>
        </w:rPr>
        <w:t>Conductors: Install solid conductor for No. 8 AWG and smaller and stranded conductors for No. 6 AWG and larger unless otherwise indicated.</w:t>
      </w:r>
    </w:p>
    <w:p>
      <w:pPr>
        <w:pStyle w:val="PR2"/>
        <w:numPr>
          <w:ilvl w:val="5"/>
          <w:numId w:val="1"/>
        </w:numPr>
        <w:spacing w:before="240" w:after="0"/>
        <w:rPr>
          <w:rFonts w:ascii="Trebuchet MS" w:hAnsi="Trebuchet MS"/>
          <w:szCs w:val="22"/>
        </w:rPr>
      </w:pPr>
      <w:r>
        <w:rPr>
          <w:rFonts w:ascii="Trebuchet MS" w:hAnsi="Trebuchet MS"/>
          <w:szCs w:val="22"/>
        </w:rPr>
        <w:t>The bonding conductors between the TGB and structural steel of steel-frame buildings shall not be smaller than No. 6 AWG.</w:t>
      </w:r>
    </w:p>
    <w:p>
      <w:pPr>
        <w:pStyle w:val="PR2"/>
        <w:numPr>
          <w:ilvl w:val="5"/>
          <w:numId w:val="1"/>
        </w:numPr>
        <w:rPr>
          <w:rFonts w:ascii="Trebuchet MS" w:hAnsi="Trebuchet MS"/>
          <w:szCs w:val="22"/>
        </w:rPr>
      </w:pPr>
      <w:r>
        <w:rPr>
          <w:rFonts w:ascii="Trebuchet MS" w:hAnsi="Trebuchet MS"/>
          <w:szCs w:val="22"/>
        </w:rPr>
        <w:t>The bonding conductors between the TMGB and structural steel of steel-frame buildings shall not be smaller than No. 6 AWG.</w:t>
      </w:r>
    </w:p>
    <w:p>
      <w:pPr>
        <w:pStyle w:val="PR1"/>
        <w:numPr>
          <w:ilvl w:val="4"/>
          <w:numId w:val="1"/>
        </w:numPr>
        <w:rPr>
          <w:rFonts w:ascii="Trebuchet MS" w:hAnsi="Trebuchet MS"/>
          <w:szCs w:val="22"/>
        </w:rPr>
      </w:pPr>
      <w:r>
        <w:rPr>
          <w:rFonts w:ascii="Trebuchet MS" w:hAnsi="Trebuchet MS"/>
          <w:szCs w:val="22"/>
        </w:rPr>
        <w:t>Underground Grounding Conductors: Install bare copper conductor, No. 2</w:t>
      </w:r>
      <w:r>
        <w:rPr>
          <w:rFonts w:ascii="Trebuchet MS" w:hAnsi="Trebuchet MS"/>
          <w:b/>
          <w:szCs w:val="22"/>
        </w:rPr>
        <w:t xml:space="preserve"> </w:t>
      </w:r>
      <w:r>
        <w:rPr>
          <w:rFonts w:ascii="Trebuchet MS" w:hAnsi="Trebuchet MS"/>
          <w:szCs w:val="22"/>
        </w:rPr>
        <w:t>AWG minimum.</w:t>
      </w:r>
    </w:p>
    <w:p>
      <w:pPr>
        <w:pStyle w:val="PR1"/>
        <w:numPr>
          <w:ilvl w:val="4"/>
          <w:numId w:val="1"/>
        </w:numPr>
        <w:rPr>
          <w:rFonts w:ascii="Trebuchet MS" w:hAnsi="Trebuchet MS"/>
          <w:szCs w:val="22"/>
        </w:rPr>
      </w:pPr>
      <w:r>
        <w:rPr>
          <w:rFonts w:ascii="Trebuchet MS" w:hAnsi="Trebuchet MS"/>
          <w:szCs w:val="22"/>
        </w:rPr>
        <w:t>Conductor Terminations and Connections:</w:t>
      </w:r>
    </w:p>
    <w:p>
      <w:pPr>
        <w:pStyle w:val="PR2"/>
        <w:numPr>
          <w:ilvl w:val="5"/>
          <w:numId w:val="1"/>
        </w:numPr>
        <w:spacing w:before="240" w:after="0"/>
        <w:rPr>
          <w:rFonts w:ascii="Trebuchet MS" w:hAnsi="Trebuchet MS"/>
          <w:szCs w:val="22"/>
        </w:rPr>
      </w:pPr>
      <w:r>
        <w:rPr>
          <w:rFonts w:ascii="Trebuchet MS" w:hAnsi="Trebuchet MS"/>
          <w:szCs w:val="22"/>
        </w:rPr>
        <w:t>Pipe and Equipment Grounding Conductor Terminations: Bolted connectors.</w:t>
      </w:r>
    </w:p>
    <w:p>
      <w:pPr>
        <w:pStyle w:val="PR2"/>
        <w:numPr>
          <w:ilvl w:val="5"/>
          <w:numId w:val="1"/>
        </w:numPr>
        <w:rPr>
          <w:rFonts w:ascii="Trebuchet MS" w:hAnsi="Trebuchet MS"/>
          <w:szCs w:val="22"/>
        </w:rPr>
      </w:pPr>
      <w:r>
        <w:rPr>
          <w:rFonts w:ascii="Trebuchet MS" w:hAnsi="Trebuchet MS"/>
          <w:szCs w:val="22"/>
        </w:rPr>
        <w:t>Underground Connections: Welded connectors except at test wells and as otherwise indicated.</w:t>
      </w:r>
    </w:p>
    <w:p>
      <w:pPr>
        <w:pStyle w:val="PR2"/>
        <w:numPr>
          <w:ilvl w:val="5"/>
          <w:numId w:val="1"/>
        </w:numPr>
        <w:rPr>
          <w:rFonts w:ascii="Trebuchet MS" w:hAnsi="Trebuchet MS"/>
          <w:szCs w:val="22"/>
        </w:rPr>
      </w:pPr>
      <w:r>
        <w:rPr>
          <w:rFonts w:ascii="Trebuchet MS" w:hAnsi="Trebuchet MS"/>
          <w:szCs w:val="22"/>
        </w:rPr>
        <w:t>Connections to Ground Rods at Test Wells: Bolted connectors.</w:t>
      </w:r>
    </w:p>
    <w:p>
      <w:pPr>
        <w:pStyle w:val="PR2"/>
        <w:numPr>
          <w:ilvl w:val="5"/>
          <w:numId w:val="1"/>
        </w:numPr>
        <w:rPr>
          <w:rFonts w:ascii="Trebuchet MS" w:hAnsi="Trebuchet MS"/>
          <w:szCs w:val="22"/>
        </w:rPr>
      </w:pPr>
      <w:r>
        <w:rPr>
          <w:rFonts w:ascii="Trebuchet MS" w:hAnsi="Trebuchet MS"/>
          <w:szCs w:val="22"/>
        </w:rPr>
        <w:t>Connections to Structural Steel: Welded connectors.</w:t>
      </w:r>
    </w:p>
    <w:p>
      <w:pPr>
        <w:pStyle w:val="PR1"/>
        <w:numPr>
          <w:ilvl w:val="4"/>
          <w:numId w:val="1"/>
        </w:numPr>
        <w:rPr>
          <w:rFonts w:ascii="Trebuchet MS" w:hAnsi="Trebuchet MS"/>
          <w:szCs w:val="22"/>
        </w:rPr>
      </w:pPr>
      <w:r>
        <w:rPr>
          <w:rFonts w:ascii="Trebuchet MS" w:hAnsi="Trebuchet MS"/>
          <w:szCs w:val="22"/>
        </w:rPr>
        <w:t>Conductor Support:</w:t>
      </w:r>
    </w:p>
    <w:p>
      <w:pPr>
        <w:pStyle w:val="PR2"/>
        <w:numPr>
          <w:ilvl w:val="5"/>
          <w:numId w:val="1"/>
        </w:numPr>
        <w:spacing w:before="240" w:after="0"/>
        <w:rPr>
          <w:rFonts w:ascii="Trebuchet MS" w:hAnsi="Trebuchet MS"/>
          <w:szCs w:val="22"/>
        </w:rPr>
      </w:pPr>
      <w:r>
        <w:rPr>
          <w:rFonts w:ascii="Trebuchet MS" w:hAnsi="Trebuchet MS"/>
          <w:szCs w:val="22"/>
        </w:rPr>
        <w:t xml:space="preserve">Secure grounding and bonding conductors at intervals of not less than </w:t>
      </w:r>
      <w:r>
        <w:rPr>
          <w:rStyle w:val="IP"/>
          <w:rFonts w:ascii="Trebuchet MS" w:hAnsi="Trebuchet MS"/>
          <w:color w:val="auto"/>
          <w:szCs w:val="22"/>
        </w:rPr>
        <w:t>36 inches</w:t>
      </w:r>
      <w:r>
        <w:rPr>
          <w:rStyle w:val="SI"/>
          <w:rFonts w:ascii="Trebuchet MS" w:hAnsi="Trebuchet MS"/>
          <w:color w:val="auto"/>
          <w:szCs w:val="22"/>
        </w:rPr>
        <w:t xml:space="preserve">  </w:t>
      </w:r>
    </w:p>
    <w:p>
      <w:pPr>
        <w:pStyle w:val="PR1"/>
        <w:numPr>
          <w:ilvl w:val="4"/>
          <w:numId w:val="1"/>
        </w:numPr>
        <w:rPr>
          <w:rFonts w:ascii="Trebuchet MS" w:hAnsi="Trebuchet MS"/>
          <w:szCs w:val="22"/>
        </w:rPr>
      </w:pPr>
      <w:r>
        <w:rPr>
          <w:rFonts w:ascii="Trebuchet MS" w:hAnsi="Trebuchet MS"/>
          <w:szCs w:val="22"/>
        </w:rPr>
        <w:t>Grounding and Bonding Conductors:</w:t>
      </w:r>
    </w:p>
    <w:p>
      <w:pPr>
        <w:pStyle w:val="PR2"/>
        <w:numPr>
          <w:ilvl w:val="5"/>
          <w:numId w:val="1"/>
        </w:numPr>
        <w:spacing w:before="240" w:after="0"/>
        <w:rPr>
          <w:rFonts w:ascii="Trebuchet MS" w:hAnsi="Trebuchet MS"/>
          <w:szCs w:val="22"/>
        </w:rPr>
      </w:pPr>
      <w:r>
        <w:rPr>
          <w:rFonts w:ascii="Trebuchet MS" w:hAnsi="Trebuchet MS"/>
          <w:szCs w:val="22"/>
        </w:rPr>
        <w:t>Install in the straightest and shortest route between the origination and termination point, and no longer than required. The bend radius shall not be smaller than eight times the diameter of the conductor. No one bend may exceed 90 degrees.</w:t>
      </w:r>
    </w:p>
    <w:p>
      <w:pPr>
        <w:pStyle w:val="PR2"/>
        <w:numPr>
          <w:ilvl w:val="5"/>
          <w:numId w:val="1"/>
        </w:numPr>
        <w:rPr>
          <w:rFonts w:ascii="Trebuchet MS" w:hAnsi="Trebuchet MS"/>
          <w:szCs w:val="22"/>
        </w:rPr>
      </w:pPr>
      <w:r>
        <w:rPr>
          <w:rFonts w:ascii="Trebuchet MS" w:hAnsi="Trebuchet MS"/>
          <w:szCs w:val="22"/>
        </w:rPr>
        <w:t>Install without splices.</w:t>
      </w:r>
    </w:p>
    <w:p>
      <w:pPr>
        <w:pStyle w:val="PR2"/>
        <w:numPr>
          <w:ilvl w:val="5"/>
          <w:numId w:val="1"/>
        </w:numPr>
        <w:rPr>
          <w:rFonts w:ascii="Trebuchet MS" w:hAnsi="Trebuchet MS"/>
          <w:szCs w:val="22"/>
        </w:rPr>
      </w:pPr>
      <w:r>
        <w:rPr>
          <w:rFonts w:ascii="Trebuchet MS" w:hAnsi="Trebuchet MS"/>
          <w:szCs w:val="22"/>
        </w:rPr>
        <w:t xml:space="preserve">Support at not more than </w:t>
      </w:r>
      <w:r>
        <w:rPr>
          <w:rStyle w:val="IP"/>
          <w:rFonts w:ascii="Trebuchet MS" w:hAnsi="Trebuchet MS"/>
          <w:color w:val="auto"/>
          <w:szCs w:val="22"/>
        </w:rPr>
        <w:t>36-inch</w:t>
      </w:r>
      <w:r>
        <w:rPr>
          <w:rStyle w:val="SI"/>
          <w:rFonts w:ascii="Trebuchet MS" w:hAnsi="Trebuchet MS"/>
          <w:color w:val="auto"/>
          <w:szCs w:val="22"/>
        </w:rPr>
        <w:t xml:space="preserve">  </w:t>
      </w:r>
      <w:r>
        <w:rPr>
          <w:rFonts w:ascii="Trebuchet MS" w:hAnsi="Trebuchet MS"/>
          <w:szCs w:val="22"/>
        </w:rPr>
        <w:t xml:space="preserve"> intervals.</w:t>
      </w:r>
    </w:p>
    <w:p>
      <w:pPr>
        <w:pStyle w:val="PR2"/>
        <w:numPr>
          <w:ilvl w:val="5"/>
          <w:numId w:val="1"/>
        </w:numPr>
        <w:rPr>
          <w:rFonts w:ascii="Trebuchet MS" w:hAnsi="Trebuchet MS"/>
          <w:szCs w:val="22"/>
        </w:rPr>
      </w:pPr>
      <w:r>
        <w:rPr>
          <w:rFonts w:ascii="Trebuchet MS" w:hAnsi="Trebuchet MS"/>
          <w:szCs w:val="22"/>
        </w:rPr>
        <w:t xml:space="preserve">Install grounding and bonding conductors in </w:t>
      </w:r>
      <w:r>
        <w:rPr>
          <w:rStyle w:val="IP"/>
          <w:rFonts w:ascii="Trebuchet MS" w:hAnsi="Trebuchet MS"/>
          <w:color w:val="auto"/>
          <w:szCs w:val="22"/>
        </w:rPr>
        <w:t>3/4-inch</w:t>
      </w:r>
      <w:r>
        <w:rPr>
          <w:rStyle w:val="SI"/>
          <w:rFonts w:ascii="Trebuchet MS" w:hAnsi="Trebuchet MS"/>
          <w:color w:val="auto"/>
          <w:szCs w:val="22"/>
        </w:rPr>
        <w:t xml:space="preserve">  </w:t>
      </w:r>
      <w:r>
        <w:rPr>
          <w:rFonts w:ascii="Trebuchet MS" w:hAnsi="Trebuchet MS"/>
          <w:szCs w:val="22"/>
        </w:rPr>
        <w:t xml:space="preserve"> PVC conduit until conduit enters a telecommunications room. The grounding and bonding conductor pathway through a plenum shall be in EMT. Conductors shall not be installed in EMT unless otherwise indicated.</w:t>
      </w:r>
    </w:p>
    <w:p>
      <w:pPr>
        <w:pStyle w:val="PR3"/>
        <w:numPr>
          <w:ilvl w:val="6"/>
          <w:numId w:val="1"/>
        </w:numPr>
        <w:spacing w:before="240" w:after="0"/>
        <w:rPr>
          <w:rFonts w:ascii="Trebuchet MS" w:hAnsi="Trebuchet MS"/>
          <w:szCs w:val="22"/>
        </w:rPr>
      </w:pPr>
      <w:r>
        <w:rPr>
          <w:rFonts w:ascii="Trebuchet MS" w:hAnsi="Trebuchet MS"/>
          <w:szCs w:val="22"/>
        </w:rPr>
        <w:t>If a grounding and bonding conductor is installed in ferrous metallic conduit, bond the conductor to the conduit using a grounding bushing that complies with requirements in Section 270528 "Pathways for Communications Systems," and bond both ends of the conduit to a TGB.</w:t>
      </w:r>
    </w:p>
    <w:p>
      <w:pPr>
        <w:pStyle w:val="ART"/>
        <w:numPr>
          <w:ilvl w:val="3"/>
          <w:numId w:val="1"/>
        </w:numPr>
        <w:rPr>
          <w:rFonts w:ascii="Trebuchet MS" w:hAnsi="Trebuchet MS"/>
          <w:szCs w:val="22"/>
        </w:rPr>
      </w:pPr>
      <w:r>
        <w:rPr>
          <w:rFonts w:ascii="Trebuchet MS" w:hAnsi="Trebuchet MS"/>
          <w:szCs w:val="22"/>
        </w:rPr>
        <w:t>GROUNDING ELECTRODE SYSTEM</w:t>
      </w:r>
    </w:p>
    <w:p>
      <w:pPr>
        <w:pStyle w:val="CMT"/>
        <w:rPr>
          <w:rFonts w:ascii="Trebuchet MS" w:hAnsi="Trebuchet MS"/>
          <w:szCs w:val="22"/>
        </w:rPr>
      </w:pPr>
      <w:r>
        <w:rPr>
          <w:rFonts w:ascii="Trebuchet MS" w:hAnsi="Trebuchet MS"/>
          <w:szCs w:val="22"/>
        </w:rPr>
        <w:t>Retain paragraph below if the size of the BCT between the TMBG and the ac service is not indicated on Drawings. For bonding conductor length up to 52 feet (16 m), use No. 1/0 AWG; if longer, use No. 3/0 AWG. For selection details, see Editing Instruction No. 3 in the Evaluations. The length of the BCT should be less than 30 feet (9 m) because the impedance of this conductor, due to its length, limits its effectiveness.</w:t>
      </w:r>
    </w:p>
    <w:p>
      <w:pPr>
        <w:pStyle w:val="PR1"/>
        <w:numPr>
          <w:ilvl w:val="4"/>
          <w:numId w:val="1"/>
        </w:numPr>
        <w:rPr>
          <w:rFonts w:ascii="Trebuchet MS" w:hAnsi="Trebuchet MS"/>
          <w:szCs w:val="22"/>
        </w:rPr>
      </w:pPr>
      <w:r>
        <w:rPr>
          <w:rFonts w:ascii="Trebuchet MS" w:hAnsi="Trebuchet MS"/>
          <w:szCs w:val="22"/>
        </w:rPr>
        <w:t>The BCT between the TMBG and the ac service equipment ground shall not be smaller than No. 1/0 AWG.</w:t>
      </w:r>
    </w:p>
    <w:p>
      <w:pPr>
        <w:pStyle w:val="ART"/>
        <w:numPr>
          <w:ilvl w:val="3"/>
          <w:numId w:val="1"/>
        </w:numPr>
        <w:rPr>
          <w:rFonts w:ascii="Trebuchet MS" w:hAnsi="Trebuchet MS"/>
          <w:szCs w:val="22"/>
        </w:rPr>
      </w:pPr>
      <w:r>
        <w:rPr>
          <w:rFonts w:ascii="Trebuchet MS" w:hAnsi="Trebuchet MS"/>
          <w:szCs w:val="22"/>
        </w:rPr>
        <w:t>GROUNDING BUSBARS</w:t>
      </w:r>
    </w:p>
    <w:p>
      <w:pPr>
        <w:pStyle w:val="PR1"/>
        <w:numPr>
          <w:ilvl w:val="4"/>
          <w:numId w:val="1"/>
        </w:numPr>
        <w:rPr>
          <w:rFonts w:ascii="Trebuchet MS" w:hAnsi="Trebuchet MS"/>
          <w:szCs w:val="22"/>
        </w:rPr>
      </w:pPr>
      <w:r>
        <w:rPr>
          <w:rFonts w:ascii="Trebuchet MS" w:hAnsi="Trebuchet MS"/>
          <w:szCs w:val="22"/>
        </w:rPr>
        <w:t xml:space="preserve">Indicate locations of grounding busbars on Drawings. Install busbars horizontally, on insulated spacers </w:t>
      </w:r>
      <w:r>
        <w:rPr>
          <w:rStyle w:val="IP"/>
          <w:rFonts w:ascii="Trebuchet MS" w:hAnsi="Trebuchet MS"/>
          <w:color w:val="auto"/>
          <w:szCs w:val="22"/>
        </w:rPr>
        <w:t>2 inches</w:t>
      </w:r>
      <w:r>
        <w:rPr>
          <w:rStyle w:val="SI"/>
          <w:rFonts w:ascii="Trebuchet MS" w:hAnsi="Trebuchet MS"/>
          <w:color w:val="auto"/>
          <w:szCs w:val="22"/>
        </w:rPr>
        <w:t xml:space="preserve"> </w:t>
      </w:r>
      <w:r>
        <w:rPr>
          <w:rFonts w:ascii="Trebuchet MS" w:hAnsi="Trebuchet MS"/>
          <w:szCs w:val="22"/>
        </w:rPr>
        <w:t xml:space="preserve">minimum from wall, </w:t>
      </w:r>
      <w:r>
        <w:rPr>
          <w:rStyle w:val="IP"/>
          <w:rFonts w:ascii="Trebuchet MS" w:hAnsi="Trebuchet MS"/>
          <w:color w:val="auto"/>
          <w:szCs w:val="22"/>
        </w:rPr>
        <w:t>12 inches</w:t>
      </w:r>
      <w:r>
        <w:rPr>
          <w:rStyle w:val="SI"/>
          <w:rFonts w:ascii="Trebuchet MS" w:hAnsi="Trebuchet MS"/>
          <w:color w:val="auto"/>
          <w:szCs w:val="22"/>
        </w:rPr>
        <w:t xml:space="preserve"> </w:t>
      </w:r>
      <w:r>
        <w:rPr>
          <w:rFonts w:ascii="Trebuchet MS" w:hAnsi="Trebuchet MS"/>
          <w:szCs w:val="22"/>
        </w:rPr>
        <w:t>above finished floor unless otherwise indicated.</w:t>
      </w:r>
    </w:p>
    <w:p>
      <w:pPr>
        <w:pStyle w:val="PR1"/>
        <w:numPr>
          <w:ilvl w:val="4"/>
          <w:numId w:val="1"/>
        </w:numPr>
        <w:rPr>
          <w:rFonts w:ascii="Trebuchet MS" w:hAnsi="Trebuchet MS"/>
          <w:szCs w:val="22"/>
        </w:rPr>
      </w:pPr>
      <w:r>
        <w:rPr>
          <w:rFonts w:ascii="Trebuchet MS" w:hAnsi="Trebuchet MS"/>
          <w:szCs w:val="22"/>
        </w:rPr>
        <w:t>Where indicated on both sides of doorways, route bus up to top of door frame, across top of doorway, and down; connect to horizontal bus.</w:t>
      </w:r>
    </w:p>
    <w:p>
      <w:pPr>
        <w:pStyle w:val="ART"/>
        <w:numPr>
          <w:ilvl w:val="3"/>
          <w:numId w:val="1"/>
        </w:numPr>
        <w:rPr>
          <w:rFonts w:ascii="Trebuchet MS" w:hAnsi="Trebuchet MS"/>
          <w:szCs w:val="22"/>
        </w:rPr>
      </w:pPr>
      <w:r>
        <w:rPr>
          <w:rFonts w:ascii="Trebuchet MS" w:hAnsi="Trebuchet MS"/>
          <w:szCs w:val="22"/>
        </w:rPr>
        <w:t>CONNECTIONS</w:t>
      </w:r>
    </w:p>
    <w:p>
      <w:pPr>
        <w:pStyle w:val="PR1"/>
        <w:numPr>
          <w:ilvl w:val="4"/>
          <w:numId w:val="1"/>
        </w:numPr>
        <w:rPr>
          <w:rFonts w:ascii="Trebuchet MS" w:hAnsi="Trebuchet MS"/>
          <w:szCs w:val="22"/>
        </w:rPr>
      </w:pPr>
      <w:r>
        <w:rPr>
          <w:rFonts w:ascii="Trebuchet MS" w:hAnsi="Trebuchet MS"/>
          <w:szCs w:val="22"/>
        </w:rPr>
        <w:t>Bond metallic equipment in a telecommunications equipment room to the grounding busbar in that room, using equipment grounding conductors not smaller than No. 6 AWG.</w:t>
      </w:r>
    </w:p>
    <w:p>
      <w:pPr>
        <w:pStyle w:val="PR1"/>
        <w:numPr>
          <w:ilvl w:val="4"/>
          <w:numId w:val="1"/>
        </w:numPr>
        <w:rPr>
          <w:rFonts w:ascii="Trebuchet MS" w:hAnsi="Trebuchet MS"/>
          <w:szCs w:val="22"/>
        </w:rPr>
      </w:pPr>
      <w:r>
        <w:rPr>
          <w:rFonts w:ascii="Trebuchet MS" w:hAnsi="Trebuchet MS"/>
          <w:szCs w:val="22"/>
        </w:rPr>
        <w:t>Stacking of conductors under a single bolt is not permitted when connecting to busbars.</w:t>
      </w:r>
    </w:p>
    <w:p>
      <w:pPr>
        <w:pStyle w:val="PR1"/>
        <w:numPr>
          <w:ilvl w:val="4"/>
          <w:numId w:val="1"/>
        </w:numPr>
        <w:rPr>
          <w:rFonts w:ascii="Trebuchet MS" w:hAnsi="Trebuchet MS"/>
          <w:szCs w:val="22"/>
        </w:rPr>
      </w:pPr>
      <w:r>
        <w:rPr>
          <w:rFonts w:ascii="Trebuchet MS" w:hAnsi="Trebuchet MS"/>
          <w:szCs w:val="22"/>
        </w:rPr>
        <w:t>Assemble the wire connector to the conductor, complying with manufacturer's written instructions and as follows:</w:t>
      </w:r>
    </w:p>
    <w:p>
      <w:pPr>
        <w:pStyle w:val="PR2"/>
        <w:numPr>
          <w:ilvl w:val="5"/>
          <w:numId w:val="1"/>
        </w:numPr>
        <w:spacing w:before="240" w:after="0"/>
        <w:rPr>
          <w:rFonts w:ascii="Trebuchet MS" w:hAnsi="Trebuchet MS"/>
          <w:szCs w:val="22"/>
        </w:rPr>
      </w:pPr>
      <w:r>
        <w:rPr>
          <w:rFonts w:ascii="Trebuchet MS" w:hAnsi="Trebuchet MS"/>
          <w:szCs w:val="22"/>
        </w:rPr>
        <w:t>Use crimping tool and the die specific to the connector.</w:t>
      </w:r>
    </w:p>
    <w:p>
      <w:pPr>
        <w:pStyle w:val="PR2"/>
        <w:numPr>
          <w:ilvl w:val="5"/>
          <w:numId w:val="1"/>
        </w:numPr>
        <w:rPr>
          <w:rFonts w:ascii="Trebuchet MS" w:hAnsi="Trebuchet MS"/>
          <w:szCs w:val="22"/>
        </w:rPr>
      </w:pPr>
      <w:r>
        <w:rPr>
          <w:rFonts w:ascii="Trebuchet MS" w:hAnsi="Trebuchet MS"/>
          <w:szCs w:val="22"/>
        </w:rPr>
        <w:t>Pretwist the conductor.</w:t>
      </w:r>
    </w:p>
    <w:p>
      <w:pPr>
        <w:pStyle w:val="PR2"/>
        <w:numPr>
          <w:ilvl w:val="5"/>
          <w:numId w:val="1"/>
        </w:numPr>
        <w:rPr>
          <w:rFonts w:ascii="Trebuchet MS" w:hAnsi="Trebuchet MS"/>
          <w:szCs w:val="22"/>
        </w:rPr>
      </w:pPr>
      <w:r>
        <w:rPr>
          <w:rFonts w:ascii="Trebuchet MS" w:hAnsi="Trebuchet MS"/>
          <w:szCs w:val="22"/>
        </w:rPr>
        <w:t>Apply an antioxidant compound to all bolted and compression connections.</w:t>
      </w:r>
    </w:p>
    <w:p>
      <w:pPr>
        <w:pStyle w:val="PR1"/>
        <w:numPr>
          <w:ilvl w:val="4"/>
          <w:numId w:val="1"/>
        </w:numPr>
        <w:rPr>
          <w:rFonts w:ascii="Trebuchet MS" w:hAnsi="Trebuchet MS"/>
          <w:szCs w:val="22"/>
        </w:rPr>
      </w:pPr>
      <w:r>
        <w:rPr>
          <w:rFonts w:ascii="Trebuchet MS" w:hAnsi="Trebuchet MS"/>
          <w:szCs w:val="22"/>
        </w:rPr>
        <w:t>Primary Protector: Bond to the TMGB with insulated bonding conductor.</w:t>
      </w:r>
    </w:p>
    <w:p>
      <w:pPr>
        <w:pStyle w:val="CMT"/>
        <w:rPr>
          <w:rFonts w:ascii="Trebuchet MS" w:hAnsi="Trebuchet MS"/>
          <w:color w:val="auto"/>
          <w:szCs w:val="22"/>
        </w:rPr>
      </w:pPr>
      <w:r>
        <w:rPr>
          <w:rFonts w:ascii="Trebuchet MS" w:hAnsi="Trebuchet MS"/>
          <w:color w:val="auto"/>
          <w:szCs w:val="22"/>
        </w:rPr>
        <w:t>Retain "Interconnections" Paragraph below if all telecommunications backbone and grounding equalizer conductors are not sized on Drawings.</w:t>
      </w:r>
    </w:p>
    <w:p>
      <w:pPr>
        <w:pStyle w:val="PR1"/>
        <w:numPr>
          <w:ilvl w:val="4"/>
          <w:numId w:val="1"/>
        </w:numPr>
        <w:rPr>
          <w:rFonts w:ascii="Trebuchet MS" w:hAnsi="Trebuchet MS"/>
          <w:szCs w:val="22"/>
        </w:rPr>
      </w:pPr>
      <w:r>
        <w:rPr>
          <w:rFonts w:ascii="Trebuchet MS" w:hAnsi="Trebuchet MS"/>
          <w:szCs w:val="22"/>
        </w:rPr>
        <w:t xml:space="preserve">Interconnections: Interconnect all TGBs with the TMGB with the telecommunications backbone conductor. If more than one TMGB is installed, interconnect TMGBs using the grounding equalizer conductor. The telecommunications backbone conductor and grounding equalizer conductor size shall not be less than </w:t>
      </w:r>
      <w:r>
        <w:rPr>
          <w:rStyle w:val="IP"/>
          <w:rFonts w:ascii="Trebuchet MS" w:hAnsi="Trebuchet MS"/>
          <w:color w:val="auto"/>
          <w:szCs w:val="22"/>
        </w:rPr>
        <w:t>2 kcmils/linear foot</w:t>
      </w:r>
      <w:r>
        <w:rPr>
          <w:rFonts w:ascii="Trebuchet MS" w:hAnsi="Trebuchet MS"/>
          <w:szCs w:val="22"/>
        </w:rPr>
        <w:t xml:space="preserve"> of conductor length, up to a maximum size of No. 3/0 AWG unless otherwise indicated.</w:t>
      </w:r>
    </w:p>
    <w:p>
      <w:pPr>
        <w:pStyle w:val="PR1"/>
        <w:numPr>
          <w:ilvl w:val="4"/>
          <w:numId w:val="1"/>
        </w:numPr>
        <w:rPr>
          <w:rFonts w:ascii="Trebuchet MS" w:hAnsi="Trebuchet MS"/>
          <w:szCs w:val="22"/>
        </w:rPr>
      </w:pPr>
      <w:r>
        <w:rPr>
          <w:rFonts w:ascii="Trebuchet MS" w:hAnsi="Trebuchet MS"/>
          <w:szCs w:val="22"/>
        </w:rPr>
        <w:t>Telecommunications Enclosures and Equipment Racks: Bond metallic components of enclosures to the telecommunications bonding and grounding system. Install vertically mounted</w:t>
      </w:r>
      <w:r>
        <w:rPr>
          <w:rFonts w:ascii="Trebuchet MS" w:hAnsi="Trebuchet MS"/>
          <w:b/>
          <w:szCs w:val="22"/>
        </w:rPr>
        <w:t xml:space="preserve"> </w:t>
      </w:r>
      <w:r>
        <w:rPr>
          <w:rFonts w:ascii="Trebuchet MS" w:hAnsi="Trebuchet MS"/>
          <w:szCs w:val="22"/>
        </w:rPr>
        <w:t>rack grounding busbar unless the enclosure and rack are manufactured with the busbar. Bond the equipment grounding busbar to the TGB No. 2 AWG bonding conductors.</w:t>
      </w:r>
    </w:p>
    <w:p>
      <w:pPr>
        <w:pStyle w:val="PR1"/>
        <w:numPr>
          <w:ilvl w:val="4"/>
          <w:numId w:val="1"/>
        </w:numPr>
        <w:rPr>
          <w:rFonts w:ascii="Trebuchet MS" w:hAnsi="Trebuchet MS"/>
          <w:szCs w:val="22"/>
        </w:rPr>
      </w:pPr>
      <w:r>
        <w:rPr>
          <w:rFonts w:ascii="Trebuchet MS" w:hAnsi="Trebuchet MS"/>
          <w:szCs w:val="22"/>
        </w:rPr>
        <w:t>Structural Steel: Where the structural steel of a steel frame building is readily accessible within the room or space, bond each TGB and TMGB to the vertical steel of the building frame.</w:t>
      </w:r>
    </w:p>
    <w:p>
      <w:pPr>
        <w:pStyle w:val="PR1"/>
        <w:numPr>
          <w:ilvl w:val="4"/>
          <w:numId w:val="1"/>
        </w:numPr>
        <w:rPr>
          <w:rFonts w:ascii="Trebuchet MS" w:hAnsi="Trebuchet MS"/>
          <w:szCs w:val="22"/>
        </w:rPr>
      </w:pPr>
      <w:r>
        <w:rPr>
          <w:rFonts w:ascii="Trebuchet MS" w:hAnsi="Trebuchet MS"/>
          <w:szCs w:val="22"/>
        </w:rPr>
        <w:t>Electrical Power Panelboards: Where an electrical panelboard for telecommunications equipment is located in the same room or space, bond each TGB to the ground bar of the panelboard.</w:t>
      </w:r>
    </w:p>
    <w:p>
      <w:pPr>
        <w:pStyle w:val="CMT"/>
        <w:rPr>
          <w:rFonts w:ascii="Trebuchet MS" w:hAnsi="Trebuchet MS"/>
          <w:szCs w:val="22"/>
        </w:rPr>
      </w:pPr>
      <w:r>
        <w:rPr>
          <w:rFonts w:ascii="Trebuchet MS" w:hAnsi="Trebuchet MS"/>
          <w:szCs w:val="22"/>
        </w:rPr>
        <w:t>Retain "Shielded Cable" Paragraph below if screened twisted-pair cables and coaxial cables are installed in communications equipment rooms.</w:t>
      </w:r>
    </w:p>
    <w:p>
      <w:pPr>
        <w:pStyle w:val="PR1"/>
        <w:numPr>
          <w:ilvl w:val="4"/>
          <w:numId w:val="1"/>
        </w:numPr>
        <w:rPr>
          <w:rFonts w:ascii="Trebuchet MS" w:hAnsi="Trebuchet MS"/>
          <w:szCs w:val="22"/>
        </w:rPr>
      </w:pPr>
      <w:r>
        <w:rPr>
          <w:rFonts w:ascii="Trebuchet MS" w:hAnsi="Trebuchet MS"/>
          <w:szCs w:val="22"/>
        </w:rPr>
        <w:t>Shielded Cable: Bond the shield of shielded cable to the TGB in communications rooms and spaces. Comply with TIA/EIA-568-B.1 and TIA/EIA-568-B.2 when grounding screened, balanced, twisted-pair cables.</w:t>
      </w:r>
    </w:p>
    <w:p>
      <w:pPr>
        <w:pStyle w:val="PR1"/>
        <w:numPr>
          <w:ilvl w:val="4"/>
          <w:numId w:val="1"/>
        </w:numPr>
        <w:rPr>
          <w:rFonts w:ascii="Trebuchet MS" w:hAnsi="Trebuchet MS"/>
          <w:szCs w:val="22"/>
        </w:rPr>
      </w:pPr>
      <w:r>
        <w:rPr>
          <w:rFonts w:ascii="Trebuchet MS" w:hAnsi="Trebuchet MS"/>
          <w:szCs w:val="22"/>
        </w:rPr>
        <w:t>Rack- and Cabinet-Mounted Equipment: Bond powered equipment chassis to the cabinet or rack grounding bar. Power connection shall comply with NFPA 70; the equipment grounding conductor in the power cord of cord- and plug-connected equipment shall be considered as a supplement to bonding requirements in this Section.</w:t>
      </w:r>
    </w:p>
    <w:p>
      <w:pPr>
        <w:pStyle w:val="PR1"/>
        <w:numPr>
          <w:ilvl w:val="4"/>
          <w:numId w:val="1"/>
        </w:numPr>
        <w:rPr>
          <w:rFonts w:ascii="Trebuchet MS" w:hAnsi="Trebuchet MS"/>
          <w:szCs w:val="22"/>
        </w:rPr>
      </w:pPr>
      <w:r>
        <w:rPr>
          <w:rFonts w:ascii="Trebuchet MS" w:hAnsi="Trebuchet MS"/>
          <w:szCs w:val="22"/>
        </w:rPr>
        <w:t>Access Floors: Bond all metal parts of access floors to the TGB.</w:t>
      </w:r>
    </w:p>
    <w:p>
      <w:pPr>
        <w:pStyle w:val="ART"/>
        <w:numPr>
          <w:ilvl w:val="3"/>
          <w:numId w:val="1"/>
        </w:numPr>
        <w:rPr>
          <w:rFonts w:ascii="Trebuchet MS" w:hAnsi="Trebuchet MS"/>
          <w:szCs w:val="22"/>
        </w:rPr>
      </w:pPr>
      <w:r>
        <w:rPr>
          <w:rFonts w:ascii="Trebuchet MS" w:hAnsi="Trebuchet MS"/>
          <w:szCs w:val="22"/>
        </w:rPr>
        <w:t>IDENTIFICATION</w:t>
      </w:r>
    </w:p>
    <w:p>
      <w:pPr>
        <w:pStyle w:val="PR1"/>
        <w:numPr>
          <w:ilvl w:val="4"/>
          <w:numId w:val="1"/>
        </w:numPr>
        <w:rPr>
          <w:rFonts w:ascii="Trebuchet MS" w:hAnsi="Trebuchet MS"/>
          <w:szCs w:val="22"/>
        </w:rPr>
      </w:pPr>
      <w:r>
        <w:rPr>
          <w:rFonts w:ascii="Trebuchet MS" w:hAnsi="Trebuchet MS"/>
          <w:szCs w:val="22"/>
        </w:rPr>
        <w:t>Labels shall be preprinted or computer-printed type.</w:t>
      </w:r>
    </w:p>
    <w:p>
      <w:pPr>
        <w:pStyle w:val="PR2"/>
        <w:numPr>
          <w:ilvl w:val="5"/>
          <w:numId w:val="1"/>
        </w:numPr>
        <w:spacing w:before="240" w:after="0"/>
        <w:rPr>
          <w:rFonts w:ascii="Trebuchet MS" w:hAnsi="Trebuchet MS"/>
          <w:szCs w:val="22"/>
        </w:rPr>
      </w:pPr>
      <w:r>
        <w:rPr>
          <w:rFonts w:ascii="Trebuchet MS" w:hAnsi="Trebuchet MS"/>
          <w:szCs w:val="22"/>
        </w:rPr>
        <w:t>Label TMGB(s) with "fs-TMGB," where "fs" is the telecommunications space identifier for the space containing the TMGB.</w:t>
      </w:r>
    </w:p>
    <w:p>
      <w:pPr>
        <w:pStyle w:val="PR2"/>
        <w:numPr>
          <w:ilvl w:val="5"/>
          <w:numId w:val="1"/>
        </w:numPr>
        <w:rPr>
          <w:rFonts w:ascii="Trebuchet MS" w:hAnsi="Trebuchet MS"/>
          <w:szCs w:val="22"/>
        </w:rPr>
      </w:pPr>
      <w:r>
        <w:rPr>
          <w:rFonts w:ascii="Trebuchet MS" w:hAnsi="Trebuchet MS"/>
          <w:szCs w:val="22"/>
        </w:rPr>
        <w:t>Label TGB(s) with "fs-TGB," where "fs" is the telecommunications space identifier for the space containing the TGB.</w:t>
      </w:r>
    </w:p>
    <w:p>
      <w:pPr>
        <w:pStyle w:val="PR2"/>
        <w:numPr>
          <w:ilvl w:val="5"/>
          <w:numId w:val="1"/>
        </w:numPr>
        <w:rPr>
          <w:rFonts w:ascii="Trebuchet MS" w:hAnsi="Trebuchet MS"/>
          <w:szCs w:val="22"/>
        </w:rPr>
      </w:pPr>
      <w:r>
        <w:rPr>
          <w:rFonts w:ascii="Trebuchet MS" w:hAnsi="Trebuchet MS"/>
          <w:szCs w:val="22"/>
        </w:rPr>
        <w:t>Label the BCT and each telecommunications backbone conductor at its attachment point: "WARNING! TELECOMMUNICATIONS BONDING CONDUCTOR. DO NOT REMOVE OR DISCONNECT!"</w:t>
      </w:r>
    </w:p>
    <w:p>
      <w:pPr>
        <w:pStyle w:val="ART"/>
        <w:numPr>
          <w:ilvl w:val="3"/>
          <w:numId w:val="1"/>
        </w:numPr>
        <w:rPr>
          <w:rFonts w:ascii="Trebuchet MS" w:hAnsi="Trebuchet MS"/>
          <w:szCs w:val="22"/>
        </w:rPr>
      </w:pPr>
      <w:r>
        <w:rPr>
          <w:rFonts w:ascii="Trebuchet MS" w:hAnsi="Trebuchet MS"/>
          <w:szCs w:val="22"/>
        </w:rPr>
        <w:t>FIELD QUALITY CONTROL</w:t>
      </w:r>
    </w:p>
    <w:p>
      <w:pPr>
        <w:pStyle w:val="CMT"/>
        <w:rPr>
          <w:rFonts w:ascii="Trebuchet MS" w:hAnsi="Trebuchet MS"/>
          <w:szCs w:val="22"/>
        </w:rPr>
      </w:pPr>
      <w:r>
        <w:rPr>
          <w:rFonts w:ascii="Trebuchet MS" w:hAnsi="Trebuchet MS"/>
          <w:szCs w:val="22"/>
        </w:rPr>
        <w:t>Retain "Perform tests and inspections" Paragraph below to require Contractor to perform tests and inspections.</w:t>
      </w:r>
    </w:p>
    <w:p>
      <w:pPr>
        <w:pStyle w:val="PR1"/>
        <w:numPr>
          <w:ilvl w:val="4"/>
          <w:numId w:val="1"/>
        </w:numPr>
        <w:rPr>
          <w:rFonts w:ascii="Trebuchet MS" w:hAnsi="Trebuchet MS"/>
          <w:szCs w:val="22"/>
        </w:rPr>
      </w:pPr>
      <w:r>
        <w:rPr>
          <w:rFonts w:ascii="Trebuchet MS" w:hAnsi="Trebuchet MS"/>
          <w:szCs w:val="22"/>
        </w:rPr>
        <w:t>Perform tests and inspections.</w:t>
      </w:r>
    </w:p>
    <w:p>
      <w:pPr>
        <w:pStyle w:val="CMT"/>
        <w:rPr>
          <w:rFonts w:ascii="Trebuchet MS" w:hAnsi="Trebuchet MS"/>
          <w:szCs w:val="22"/>
        </w:rPr>
      </w:pPr>
      <w:r>
        <w:rPr>
          <w:rFonts w:ascii="Trebuchet MS" w:hAnsi="Trebuchet MS"/>
          <w:szCs w:val="22"/>
        </w:rPr>
        <w:t>Retain "Tests and Inspections" Paragraph below to describe tests and inspections to be performed.</w:t>
      </w:r>
    </w:p>
    <w:p>
      <w:pPr>
        <w:pStyle w:val="CMT"/>
        <w:rPr>
          <w:rFonts w:ascii="Trebuchet MS" w:hAnsi="Trebuchet MS"/>
          <w:szCs w:val="22"/>
        </w:rPr>
      </w:pPr>
      <w:r>
        <w:rPr>
          <w:rFonts w:ascii="Trebuchet MS" w:hAnsi="Trebuchet MS"/>
          <w:szCs w:val="22"/>
        </w:rPr>
        <w:t>The maximum acceptable connection resistance and ac loop current values are based on recommendations of BICSI TDMM.</w:t>
      </w:r>
    </w:p>
    <w:p>
      <w:pPr>
        <w:pStyle w:val="PR1"/>
        <w:numPr>
          <w:ilvl w:val="4"/>
          <w:numId w:val="1"/>
        </w:numPr>
        <w:rPr>
          <w:rFonts w:ascii="Trebuchet MS" w:hAnsi="Trebuchet MS"/>
          <w:szCs w:val="22"/>
        </w:rPr>
      </w:pPr>
      <w:r>
        <w:rPr>
          <w:rFonts w:ascii="Trebuchet MS" w:hAnsi="Trebuchet MS"/>
          <w:szCs w:val="22"/>
        </w:rPr>
        <w:t>Tests and Inspections:</w:t>
      </w:r>
    </w:p>
    <w:p>
      <w:pPr>
        <w:pStyle w:val="PR2"/>
        <w:numPr>
          <w:ilvl w:val="5"/>
          <w:numId w:val="1"/>
        </w:numPr>
        <w:spacing w:before="240" w:after="0"/>
        <w:rPr>
          <w:rFonts w:ascii="Trebuchet MS" w:hAnsi="Trebuchet MS"/>
          <w:szCs w:val="22"/>
        </w:rPr>
      </w:pPr>
      <w:r>
        <w:rPr>
          <w:rFonts w:ascii="Trebuchet MS" w:hAnsi="Trebuchet MS"/>
          <w:szCs w:val="22"/>
        </w:rPr>
        <w:t>Inspect physical and mechanical condition. Verify tightness of accessible, bolted, electrical connections with a calibrated torque wrench according to manufacturer's written instructions.</w:t>
      </w:r>
    </w:p>
    <w:p>
      <w:pPr>
        <w:pStyle w:val="PR2"/>
        <w:numPr>
          <w:ilvl w:val="5"/>
          <w:numId w:val="1"/>
        </w:numPr>
        <w:rPr>
          <w:rFonts w:ascii="Trebuchet MS" w:hAnsi="Trebuchet MS"/>
          <w:szCs w:val="22"/>
        </w:rPr>
      </w:pPr>
      <w:r>
        <w:rPr>
          <w:rFonts w:ascii="Trebuchet MS" w:hAnsi="Trebuchet MS"/>
          <w:szCs w:val="22"/>
        </w:rPr>
        <w:t>Test the bonding connections of the system using an ac earth ground-resistance tester, taking two-point bonding measurements in each telecommunications equipment room containing a TMGB and a TGB and using the process recommended by BICSI TDMM. Conduct tests with the facility in operation.</w:t>
      </w:r>
    </w:p>
    <w:p>
      <w:pPr>
        <w:pStyle w:val="PR3"/>
        <w:numPr>
          <w:ilvl w:val="6"/>
          <w:numId w:val="1"/>
        </w:numPr>
        <w:spacing w:before="240" w:after="0"/>
        <w:rPr>
          <w:rFonts w:ascii="Trebuchet MS" w:hAnsi="Trebuchet MS"/>
          <w:szCs w:val="22"/>
        </w:rPr>
      </w:pPr>
      <w:r>
        <w:rPr>
          <w:rFonts w:ascii="Trebuchet MS" w:hAnsi="Trebuchet MS"/>
          <w:szCs w:val="22"/>
        </w:rPr>
        <w:t>Measure the resistance between the busbar and the nearest available grounding electrode. The maximum acceptable value of this bonding resistance is 100 milliohms.</w:t>
      </w:r>
    </w:p>
    <w:p>
      <w:pPr>
        <w:pStyle w:val="PR2"/>
        <w:numPr>
          <w:ilvl w:val="5"/>
          <w:numId w:val="1"/>
        </w:numPr>
        <w:spacing w:before="240" w:after="0"/>
        <w:rPr>
          <w:rFonts w:ascii="Trebuchet MS" w:hAnsi="Trebuchet MS"/>
          <w:szCs w:val="22"/>
        </w:rPr>
      </w:pPr>
      <w:r>
        <w:rPr>
          <w:rFonts w:ascii="Trebuchet MS" w:hAnsi="Trebuchet MS"/>
          <w:szCs w:val="22"/>
        </w:rPr>
        <w:t>Test for ground loop currents using a digital clamp-on ammeter, with a full-scale of not more than 10 A, displaying current in increments of 0.01 A at an accuracy of plus/minus 2.0 percent.</w:t>
      </w:r>
    </w:p>
    <w:p>
      <w:pPr>
        <w:pStyle w:val="PR3"/>
        <w:numPr>
          <w:ilvl w:val="6"/>
          <w:numId w:val="1"/>
        </w:numPr>
        <w:spacing w:before="240" w:after="0"/>
        <w:rPr>
          <w:rFonts w:ascii="Trebuchet MS" w:hAnsi="Trebuchet MS"/>
          <w:szCs w:val="22"/>
        </w:rPr>
      </w:pPr>
      <w:r>
        <w:rPr>
          <w:rFonts w:ascii="Trebuchet MS" w:hAnsi="Trebuchet MS"/>
          <w:szCs w:val="22"/>
        </w:rPr>
        <w:t>With the grounding infrastructure completed and the communications system electronics operating, measure the current in every conductor connected to the TMGB. Maximum acceptable ac current level is 1 A.</w:t>
      </w:r>
    </w:p>
    <w:p>
      <w:pPr>
        <w:pStyle w:val="PR1"/>
        <w:numPr>
          <w:ilvl w:val="4"/>
          <w:numId w:val="1"/>
        </w:numPr>
        <w:rPr>
          <w:rFonts w:ascii="Trebuchet MS" w:hAnsi="Trebuchet MS"/>
          <w:szCs w:val="22"/>
        </w:rPr>
      </w:pPr>
      <w:r>
        <w:rPr>
          <w:rFonts w:ascii="Trebuchet MS" w:hAnsi="Trebuchet MS"/>
          <w:szCs w:val="22"/>
        </w:rPr>
        <w:t>Excessive Ground Resistance: If resistance to ground at the BCT exceeds 1 ohms, notify Architect promptly and include recommendations to reduce ground resistance.</w:t>
      </w:r>
    </w:p>
    <w:p>
      <w:pPr>
        <w:pStyle w:val="CMT"/>
        <w:rPr>
          <w:rFonts w:ascii="Trebuchet MS" w:hAnsi="Trebuchet MS"/>
          <w:szCs w:val="22"/>
        </w:rPr>
      </w:pPr>
      <w:r>
        <w:rPr>
          <w:rFonts w:ascii="Trebuchet MS" w:hAnsi="Trebuchet MS"/>
          <w:szCs w:val="22"/>
        </w:rPr>
        <w:t>See Section 014000 "Quality Requirements" for retesting and reinspecting requirements and Section 017300 "Execution" for requirements for correcting the Work.</w:t>
      </w:r>
    </w:p>
    <w:p>
      <w:pPr>
        <w:pStyle w:val="PR1"/>
        <w:numPr>
          <w:ilvl w:val="4"/>
          <w:numId w:val="1"/>
        </w:numPr>
        <w:rPr>
          <w:rFonts w:ascii="Trebuchet MS" w:hAnsi="Trebuchet MS"/>
          <w:szCs w:val="22"/>
        </w:rPr>
      </w:pPr>
      <w:r>
        <w:rPr>
          <w:rFonts w:ascii="Trebuchet MS" w:hAnsi="Trebuchet MS"/>
          <w:szCs w:val="22"/>
        </w:rPr>
        <w:t>Grounding system will be considered defective if it does not pass tests and inspections.</w:t>
      </w:r>
    </w:p>
    <w:p>
      <w:pPr>
        <w:pStyle w:val="PR1"/>
        <w:numPr>
          <w:ilvl w:val="4"/>
          <w:numId w:val="1"/>
        </w:numPr>
        <w:rPr>
          <w:rFonts w:ascii="Trebuchet MS" w:hAnsi="Trebuchet MS"/>
          <w:szCs w:val="22"/>
        </w:rPr>
      </w:pPr>
      <w:r>
        <w:rPr>
          <w:rFonts w:ascii="Trebuchet MS" w:hAnsi="Trebuchet MS"/>
          <w:szCs w:val="22"/>
        </w:rPr>
        <w:t>Prepare test and inspection reports.</w:t>
      </w:r>
    </w:p>
    <w:p>
      <w:pPr>
        <w:pStyle w:val="EOS"/>
        <w:jc w:val="center"/>
        <w:rPr>
          <w:rFonts w:ascii="Trebuchet MS" w:hAnsi="Trebuchet MS"/>
          <w:szCs w:val="22"/>
        </w:rPr>
      </w:pPr>
      <w:r>
        <w:rPr>
          <w:rFonts w:ascii="Trebuchet MS" w:hAnsi="Trebuchet MS"/>
          <w:szCs w:val="22"/>
        </w:rPr>
        <w:t>END OF SECTION 27052</w:t>
      </w:r>
    </w:p>
    <w:sectPr>
      <w:headerReference w:type="even" r:id="rId21"/>
      <w:headerReference w:type="default" r:id="rId22"/>
      <w:headerReference w:type="first" r:id="rId23"/>
      <w:footerReference w:type="even" r:id="rId24"/>
      <w:footerReference w:type="default" r:id="rId25"/>
      <w:footerReference w:type="first" r:id="rId26"/>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rebuchet MS">
    <w:charset w:val="00"/>
    <w:family w:val="swiss"/>
    <w:pitch w:val="variable"/>
  </w:font>
  <w:font w:name="Trebuchet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04" w:type="dxa"/>
      <w:jc w:val="left"/>
      <w:tblInd w:w="0" w:type="dxa"/>
      <w:tblLayout w:type="fixed"/>
      <w:tblCellMar>
        <w:top w:w="0" w:type="dxa"/>
        <w:left w:w="65" w:type="dxa"/>
        <w:bottom w:w="0" w:type="dxa"/>
        <w:right w:w="65" w:type="dxa"/>
      </w:tblCellMar>
      <w:tblLook w:firstRow="0" w:noVBand="0" w:lastRow="0" w:firstColumn="0" w:lastColumn="0" w:noHBand="0" w:val="0000"/>
    </w:tblPr>
    <w:tblGrid>
      <w:gridCol w:w="7631"/>
      <w:gridCol w:w="1873"/>
    </w:tblGrid>
    <w:tr>
      <w:trPr/>
      <w:tc>
        <w:tcPr>
          <w:tcW w:w="7631" w:type="dxa"/>
          <w:tcBorders/>
        </w:tcPr>
        <w:p>
          <w:pPr>
            <w:pStyle w:val="FTR"/>
            <w:rPr>
              <w:rFonts w:ascii="Trebuchet MS" w:hAnsi="Trebuchet MS"/>
              <w:sz w:val="20"/>
            </w:rPr>
          </w:pPr>
          <w:r>
            <w:rPr>
              <w:rStyle w:val="NAM"/>
              <w:rFonts w:ascii="Trebuchet MS" w:hAnsi="Trebuchet MS"/>
              <w:sz w:val="20"/>
            </w:rPr>
            <w:t>GROUNDING AND BONDING FOR COMMUNICATIONS SYSTEMS</w:t>
          </w:r>
        </w:p>
      </w:tc>
      <w:tc>
        <w:tcPr>
          <w:tcW w:w="1873" w:type="dxa"/>
          <w:tcBorders/>
        </w:tcPr>
        <w:p>
          <w:pPr>
            <w:pStyle w:val="RJUST"/>
            <w:rPr>
              <w:sz w:val="20"/>
            </w:rPr>
          </w:pPr>
          <w:r>
            <w:rPr>
              <w:rStyle w:val="NUM"/>
              <w:sz w:val="20"/>
            </w:rPr>
            <w:t>270526</w:t>
          </w:r>
          <w:r>
            <w:rPr>
              <w:sz w:val="20"/>
            </w:rPr>
            <w:t xml:space="preserve"> - </w:t>
          </w:r>
          <w:r>
            <w:rPr>
              <w:sz w:val="20"/>
            </w:rPr>
            <w:fldChar w:fldCharType="begin"/>
          </w:r>
          <w:r>
            <w:rPr>
              <w:sz w:val="20"/>
            </w:rPr>
            <w:instrText xml:space="preserve"> PAGE </w:instrText>
          </w:r>
          <w:r>
            <w:rPr>
              <w:sz w:val="20"/>
            </w:rPr>
            <w:fldChar w:fldCharType="separate"/>
          </w:r>
          <w:r>
            <w:rPr>
              <w:sz w:val="20"/>
            </w:rPr>
            <w:t>8</w:t>
          </w:r>
          <w:r>
            <w:rPr>
              <w:sz w:val="20"/>
            </w:rPr>
            <w:fldChar w:fldCharType="end"/>
          </w:r>
        </w:p>
      </w:tc>
    </w:tr>
  </w:tbl>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04" w:type="dxa"/>
      <w:jc w:val="left"/>
      <w:tblInd w:w="0" w:type="dxa"/>
      <w:tblLayout w:type="fixed"/>
      <w:tblCellMar>
        <w:top w:w="0" w:type="dxa"/>
        <w:left w:w="65" w:type="dxa"/>
        <w:bottom w:w="0" w:type="dxa"/>
        <w:right w:w="65" w:type="dxa"/>
      </w:tblCellMar>
      <w:tblLook w:firstRow="0" w:noVBand="0" w:lastRow="0" w:firstColumn="0" w:lastColumn="0" w:noHBand="0" w:val="0000"/>
    </w:tblPr>
    <w:tblGrid>
      <w:gridCol w:w="7631"/>
      <w:gridCol w:w="1873"/>
    </w:tblGrid>
    <w:tr>
      <w:trPr/>
      <w:tc>
        <w:tcPr>
          <w:tcW w:w="7631" w:type="dxa"/>
          <w:tcBorders/>
        </w:tcPr>
        <w:p>
          <w:pPr>
            <w:pStyle w:val="FTR"/>
            <w:rPr>
              <w:rFonts w:ascii="Trebuchet MS" w:hAnsi="Trebuchet MS"/>
              <w:sz w:val="20"/>
            </w:rPr>
          </w:pPr>
          <w:r>
            <w:rPr>
              <w:rStyle w:val="NAM"/>
              <w:rFonts w:ascii="Trebuchet MS" w:hAnsi="Trebuchet MS"/>
              <w:sz w:val="20"/>
            </w:rPr>
            <w:t>GROUNDING AND BONDING FOR COMMUNICATIONS SYSTEMS</w:t>
          </w:r>
        </w:p>
      </w:tc>
      <w:tc>
        <w:tcPr>
          <w:tcW w:w="1873" w:type="dxa"/>
          <w:tcBorders/>
        </w:tcPr>
        <w:p>
          <w:pPr>
            <w:pStyle w:val="RJUST"/>
            <w:rPr>
              <w:sz w:val="20"/>
            </w:rPr>
          </w:pPr>
          <w:r>
            <w:rPr>
              <w:rStyle w:val="NUM"/>
              <w:sz w:val="20"/>
            </w:rPr>
            <w:t>270526</w:t>
          </w:r>
          <w:r>
            <w:rPr>
              <w:sz w:val="20"/>
            </w:rPr>
            <w:t xml:space="preserve"> - </w:t>
          </w:r>
          <w:r>
            <w:rPr>
              <w:sz w:val="20"/>
            </w:rPr>
            <w:fldChar w:fldCharType="begin"/>
          </w:r>
          <w:r>
            <w:rPr>
              <w:sz w:val="20"/>
            </w:rPr>
            <w:instrText xml:space="preserve"> PAGE </w:instrText>
          </w:r>
          <w:r>
            <w:rPr>
              <w:sz w:val="20"/>
            </w:rPr>
            <w:fldChar w:fldCharType="separate"/>
          </w:r>
          <w:r>
            <w:rPr>
              <w:sz w:val="20"/>
            </w:rPr>
            <w:t>8</w:t>
          </w:r>
          <w:r>
            <w:rPr>
              <w:sz w:val="20"/>
            </w:rPr>
            <w:fldChar w:fldCharType="end"/>
          </w:r>
        </w:p>
      </w:tc>
    </w:tr>
  </w:tbl>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sz w:val="20"/>
        <w:szCs w:val="20"/>
      </w:rPr>
    </w:pPr>
    <w:r>
      <w:rPr>
        <w:rFonts w:cs="Arial" w:ascii="Trebuchet MS" w:hAnsi="Trebuchet MS"/>
        <w:sz w:val="20"/>
        <w:szCs w:val="20"/>
      </w:rPr>
      <w:t>ST. TAMMANY FIRE PROTECTION DISTRICT NO. 1</w:t>
    </w:r>
  </w:p>
  <w:p>
    <w:pPr>
      <w:pStyle w:val="Header"/>
      <w:rPr>
        <w:rFonts w:ascii="Trebuchet MS" w:hAnsi="Trebuchet MS" w:cs="Arial"/>
        <w:sz w:val="20"/>
        <w:szCs w:val="20"/>
      </w:rPr>
    </w:pPr>
    <w:r>
      <w:rPr>
        <w:rFonts w:cs="Arial" w:ascii="Trebuchet MS" w:hAnsi="Trebuchet MS"/>
        <w:sz w:val="20"/>
        <w:szCs w:val="20"/>
      </w:rPr>
      <w:t>FIRE STATION #1</w:t>
    </w:r>
    <w:r>
      <w:rPr>
        <w:rFonts w:cs="Arial" w:ascii="Trebuchet MS" w:hAnsi="Trebuchet MS"/>
        <w:sz w:val="20"/>
        <w:szCs w:val="20"/>
      </w:rPr>
      <w:t>0</w:t>
    </w:r>
  </w:p>
  <w:p>
    <w:pPr>
      <w:pStyle w:val="Header"/>
      <w:rPr>
        <w:rFonts w:ascii="Trebuchet MS" w:hAnsi="Trebuchet MS" w:cs="Arial"/>
        <w:sz w:val="20"/>
        <w:szCs w:val="20"/>
      </w:rPr>
    </w:pPr>
    <w:r>
      <w:rPr>
        <w:rFonts w:cs="Arial" w:ascii="Trebuchet MS" w:hAnsi="Trebuchet MS"/>
        <w:sz w:val="20"/>
        <w:szCs w:val="20"/>
      </w:rPr>
      <w:t>2745 LAKESHORE VISTA BLVD</w:t>
    </w:r>
  </w:p>
  <w:p>
    <w:pPr>
      <w:pStyle w:val="Header"/>
      <w:rPr>
        <w:rFonts w:ascii="Trebuchet MS" w:hAnsi="Trebuchet MS" w:cs="Arial"/>
        <w:sz w:val="20"/>
        <w:szCs w:val="20"/>
      </w:rPr>
    </w:pPr>
    <w:r>
      <w:rPr>
        <w:rFonts w:cs="Arial" w:ascii="Trebuchet MS" w:hAnsi="Trebuchet MS"/>
        <w:sz w:val="20"/>
        <w:szCs w:val="20"/>
      </w:rPr>
      <w:t>SLIDELL, LA 70461</w:t>
    </w:r>
  </w:p>
  <w:p>
    <w:pPr>
      <w:pStyle w:val="Header"/>
      <w:rPr>
        <w:sz w:val="20"/>
      </w:rPr>
    </w:pPr>
    <w:r>
      <w:rPr>
        <w:sz w:val="20"/>
      </w:rPr>
      <mc:AlternateContent>
        <mc:Choice Requires="wps">
          <w:drawing>
            <wp:anchor behindDoc="1" distT="0" distB="0" distL="114300" distR="114300" simplePos="0" locked="0" layoutInCell="1" allowOverlap="1" relativeHeight="9">
              <wp:simplePos x="0" y="0"/>
              <wp:positionH relativeFrom="column">
                <wp:posOffset>-9525</wp:posOffset>
              </wp:positionH>
              <wp:positionV relativeFrom="paragraph">
                <wp:posOffset>6350</wp:posOffset>
              </wp:positionV>
              <wp:extent cx="5943600" cy="635"/>
              <wp:effectExtent l="635" t="1270" r="1270" b="635"/>
              <wp:wrapNone/>
              <wp:docPr id="1"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sz w:val="20"/>
        <w:szCs w:val="20"/>
      </w:rPr>
    </w:pPr>
    <w:r>
      <w:rPr>
        <w:rFonts w:cs="Arial" w:ascii="Trebuchet MS" w:hAnsi="Trebuchet MS"/>
        <w:sz w:val="20"/>
        <w:szCs w:val="20"/>
      </w:rPr>
      <w:t>ST. TAMMANY FIRE PROTECTION DISTRICT NO. 1</w:t>
    </w:r>
  </w:p>
  <w:p>
    <w:pPr>
      <w:pStyle w:val="Header"/>
      <w:rPr>
        <w:rFonts w:ascii="Trebuchet MS" w:hAnsi="Trebuchet MS" w:cs="Arial"/>
        <w:sz w:val="20"/>
        <w:szCs w:val="20"/>
      </w:rPr>
    </w:pPr>
    <w:r>
      <w:rPr>
        <w:rFonts w:cs="Arial" w:ascii="Trebuchet MS" w:hAnsi="Trebuchet MS"/>
        <w:sz w:val="20"/>
        <w:szCs w:val="20"/>
      </w:rPr>
      <w:t>FIRE STATION #1</w:t>
    </w:r>
    <w:r>
      <w:rPr>
        <w:rFonts w:cs="Arial" w:ascii="Trebuchet MS" w:hAnsi="Trebuchet MS"/>
        <w:sz w:val="20"/>
        <w:szCs w:val="20"/>
      </w:rPr>
      <w:t>0</w:t>
    </w:r>
  </w:p>
  <w:p>
    <w:pPr>
      <w:pStyle w:val="Header"/>
      <w:rPr>
        <w:rFonts w:ascii="Trebuchet MS" w:hAnsi="Trebuchet MS" w:cs="Arial"/>
        <w:sz w:val="20"/>
        <w:szCs w:val="20"/>
      </w:rPr>
    </w:pPr>
    <w:r>
      <w:rPr>
        <w:rFonts w:cs="Arial" w:ascii="Trebuchet MS" w:hAnsi="Trebuchet MS"/>
        <w:sz w:val="20"/>
        <w:szCs w:val="20"/>
      </w:rPr>
      <w:t>2745 LAKESHORE VISTA BLVD</w:t>
    </w:r>
  </w:p>
  <w:p>
    <w:pPr>
      <w:pStyle w:val="Header"/>
      <w:rPr>
        <w:rFonts w:ascii="Trebuchet MS" w:hAnsi="Trebuchet MS" w:cs="Arial"/>
        <w:sz w:val="20"/>
        <w:szCs w:val="20"/>
      </w:rPr>
    </w:pPr>
    <w:r>
      <w:rPr>
        <w:rFonts w:cs="Arial" w:ascii="Trebuchet MS" w:hAnsi="Trebuchet MS"/>
        <w:sz w:val="20"/>
        <w:szCs w:val="20"/>
      </w:rPr>
      <w:t>SLIDELL, LA 70461</w:t>
    </w:r>
  </w:p>
  <w:p>
    <w:pPr>
      <w:pStyle w:val="Header"/>
      <w:rPr>
        <w:sz w:val="20"/>
      </w:rPr>
    </w:pPr>
    <w:r>
      <w:rPr>
        <w:sz w:val="20"/>
      </w:rPr>
      <mc:AlternateContent>
        <mc:Choice Requires="wps">
          <w:drawing>
            <wp:anchor behindDoc="1" distT="0" distB="0" distL="114300" distR="114300" simplePos="0" locked="0" layoutInCell="1" allowOverlap="1" relativeHeight="9">
              <wp:simplePos x="0" y="0"/>
              <wp:positionH relativeFrom="column">
                <wp:posOffset>-9525</wp:posOffset>
              </wp:positionH>
              <wp:positionV relativeFrom="paragraph">
                <wp:posOffset>6350</wp:posOffset>
              </wp:positionV>
              <wp:extent cx="5943600" cy="635"/>
              <wp:effectExtent l="635" t="1270" r="1270" b="635"/>
              <wp:wrapNone/>
              <wp:docPr id="2"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PART %1 - "/>
      <w:lvlJc w:val="left"/>
      <w:pPr>
        <w:tabs>
          <w:tab w:val="num" w:pos="0"/>
        </w:tabs>
        <w:ind w:left="0" w:hanging="0"/>
      </w:pPr>
      <w:rPr/>
    </w:lvl>
    <w:lvl w:ilvl="1">
      <w:start w:val="0"/>
      <w:numFmt w:val="decimal"/>
      <w:suff w:val="nothing"/>
      <w:lvlText w:val="SCHEDULE %2 - "/>
      <w:lvlJc w:val="left"/>
      <w:pPr>
        <w:tabs>
          <w:tab w:val="num" w:pos="0"/>
        </w:tabs>
        <w:ind w:left="0" w:hanging="0"/>
      </w:pPr>
      <w:rPr/>
    </w:lvl>
    <w:lvl w:ilvl="2">
      <w:start w:val="0"/>
      <w:numFmt w:val="decimal"/>
      <w:suff w:val="nothing"/>
      <w:lvlText w:val="PRODUCT DATA SHEET %3 - "/>
      <w:lvlJc w:val="left"/>
      <w:pPr>
        <w:tabs>
          <w:tab w:val="num" w:pos="0"/>
        </w:tabs>
        <w:ind w:left="0" w:hanging="0"/>
      </w:pPr>
      <w:rPr/>
    </w:lvl>
    <w:lvl w:ilvl="3">
      <w:start w:val="1"/>
      <w:numFmt w:val="decimal"/>
      <w:lvlText w:val="%1.%4"/>
      <w:lvlJc w:val="left"/>
      <w:pPr>
        <w:tabs>
          <w:tab w:val="num" w:pos="864"/>
        </w:tabs>
        <w:ind w:left="864" w:hanging="864"/>
      </w:pPr>
      <w:rPr/>
    </w:lvl>
    <w:lvl w:ilvl="4">
      <w:start w:val="1"/>
      <w:numFmt w:val="upperLetter"/>
      <w:lvlText w:val="%5."/>
      <w:lvlJc w:val="left"/>
      <w:pPr>
        <w:tabs>
          <w:tab w:val="num" w:pos="864"/>
        </w:tabs>
        <w:ind w:left="864" w:hanging="576"/>
      </w:pPr>
      <w:rPr/>
    </w:lvl>
    <w:lvl w:ilvl="5">
      <w:start w:val="1"/>
      <w:numFmt w:val="decimal"/>
      <w:lvlText w:val="%6."/>
      <w:lvlJc w:val="left"/>
      <w:pPr>
        <w:tabs>
          <w:tab w:val="num" w:pos="1440"/>
        </w:tabs>
        <w:ind w:left="1440" w:hanging="576"/>
      </w:pPr>
      <w:rPr/>
    </w:lvl>
    <w:lvl w:ilvl="6">
      <w:start w:val="1"/>
      <w:numFmt w:val="lowerLetter"/>
      <w:lvlText w:val="%7."/>
      <w:lvlJc w:val="left"/>
      <w:pPr>
        <w:tabs>
          <w:tab w:val="num" w:pos="2016"/>
        </w:tabs>
        <w:ind w:left="2016" w:hanging="576"/>
      </w:pPr>
      <w:rPr/>
    </w:lvl>
    <w:lvl w:ilvl="7">
      <w:start w:val="1"/>
      <w:numFmt w:val="decimal"/>
      <w:lvlText w:val="%8)"/>
      <w:lvlJc w:val="left"/>
      <w:pPr>
        <w:tabs>
          <w:tab w:val="num" w:pos="2592"/>
        </w:tabs>
        <w:ind w:left="2592" w:hanging="576"/>
      </w:pPr>
      <w:rPr/>
    </w:lvl>
    <w:lvl w:ilvl="8">
      <w:start w:val="1"/>
      <w:numFmt w:val="lowerLetter"/>
      <w:lvlText w:val="%9)"/>
      <w:lvlJc w:val="left"/>
      <w:pPr>
        <w:tabs>
          <w:tab w:val="num" w:pos="3168"/>
        </w:tabs>
        <w:ind w:left="3168" w:hanging="576"/>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360"/>
  <w:autoHyphenation w:val="true"/>
  <w:doNotHyphenateCaps/>
  <w:hyphenationZone w:val="360"/>
  <w:compat>
    <w:compatSetting w:name="compatibilityMode" w:uri="http://schemas.microsoft.com/office/word" w:val="12"/>
    <w:compatSetting w:name="useWord2013TrackBottomHyphenation" w:uri="http://schemas.microsoft.com/office/word" w:val="1"/>
  </w:compat>
  <w:themeFontLang w:val="en-US" w:eastAsia="" w:bidi=""/>
  <w:docVars>
    <w:docVar w:name="DOI" w:val="06/01/11"/>
    <w:docVar w:name="Format" w:val="2"/>
    <w:docVar w:name="MF04" w:val="270526"/>
    <w:docVar w:name="MF95" w:val="16062"/>
    <w:docVar w:name="SectionID" w:val="1675"/>
    <w:docVar w:name="SpecType" w:val="MasterSpec"/>
    <w:docVar w:name="Version" w:val="360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5d0"/>
    <w:pPr>
      <w:widowControl/>
      <w:suppressAutoHyphens w:val="false"/>
      <w:bidi w:val="0"/>
      <w:spacing w:before="0" w:after="0"/>
      <w:jc w:val="left"/>
    </w:pPr>
    <w:rPr>
      <w:rFonts w:ascii="Times New Roman" w:hAnsi="Times New Roman" w:eastAsia="Times New Roman" w:cs="Times New Roman"/>
      <w:color w:val="auto"/>
      <w:kern w:val="0"/>
      <w:sz w:val="22"/>
      <w:szCs w:val="20"/>
      <w:lang w:val="en-US" w:eastAsia="en-US" w:bidi="ar-SA"/>
    </w:rPr>
  </w:style>
  <w:style w:type="character" w:styleId="DefaultParagraphFont" w:default="1">
    <w:name w:val="Default Paragraph Font"/>
    <w:uiPriority w:val="1"/>
    <w:semiHidden/>
    <w:unhideWhenUsed/>
    <w:qFormat/>
    <w:rPr/>
  </w:style>
  <w:style w:type="character" w:styleId="CPR" w:customStyle="1">
    <w:name w:val="CPR"/>
    <w:basedOn w:val="DefaultParagraphFont"/>
    <w:qFormat/>
    <w:rsid w:val="00e445d0"/>
    <w:rPr/>
  </w:style>
  <w:style w:type="character" w:styleId="SPN" w:customStyle="1">
    <w:name w:val="SPN"/>
    <w:basedOn w:val="DefaultParagraphFont"/>
    <w:qFormat/>
    <w:rsid w:val="00e445d0"/>
    <w:rPr/>
  </w:style>
  <w:style w:type="character" w:styleId="SPD" w:customStyle="1">
    <w:name w:val="SPD"/>
    <w:basedOn w:val="DefaultParagraphFont"/>
    <w:qFormat/>
    <w:rsid w:val="00e445d0"/>
    <w:rPr/>
  </w:style>
  <w:style w:type="character" w:styleId="NUM" w:customStyle="1">
    <w:name w:val="NUM"/>
    <w:basedOn w:val="DefaultParagraphFont"/>
    <w:qFormat/>
    <w:rsid w:val="00e445d0"/>
    <w:rPr/>
  </w:style>
  <w:style w:type="character" w:styleId="NAM" w:customStyle="1">
    <w:name w:val="NAM"/>
    <w:basedOn w:val="DefaultParagraphFont"/>
    <w:qFormat/>
    <w:rsid w:val="00e445d0"/>
    <w:rPr/>
  </w:style>
  <w:style w:type="character" w:styleId="SI" w:customStyle="1">
    <w:name w:val="SI"/>
    <w:qFormat/>
    <w:rsid w:val="00e445d0"/>
    <w:rPr>
      <w:color w:val="008080"/>
    </w:rPr>
  </w:style>
  <w:style w:type="character" w:styleId="IP" w:customStyle="1">
    <w:name w:val="IP"/>
    <w:qFormat/>
    <w:rsid w:val="00e445d0"/>
    <w:rPr>
      <w:color w:val="FF0000"/>
    </w:rPr>
  </w:style>
  <w:style w:type="character" w:styleId="SAhyperlink" w:customStyle="1">
    <w:name w:val="SAhyperlink"/>
    <w:uiPriority w:val="1"/>
    <w:qFormat/>
    <w:rsid w:val="00331893"/>
    <w:rPr>
      <w:color w:val="E36C0A"/>
      <w:u w:val="single"/>
    </w:rPr>
  </w:style>
  <w:style w:type="character" w:styleId="Hyperlink">
    <w:name w:val="Hyperlink"/>
    <w:uiPriority w:val="99"/>
    <w:unhideWhenUsed/>
    <w:rsid w:val="00331893"/>
    <w:rPr>
      <w:color w:val="0000FF"/>
      <w:u w:val="single"/>
    </w:rPr>
  </w:style>
  <w:style w:type="character" w:styleId="HeaderChar" w:customStyle="1">
    <w:name w:val="Header Char"/>
    <w:basedOn w:val="DefaultParagraphFont"/>
    <w:link w:val="Header"/>
    <w:qFormat/>
    <w:rsid w:val="00fe0e28"/>
    <w:rPr/>
  </w:style>
  <w:style w:type="character" w:styleId="FooterChar" w:customStyle="1">
    <w:name w:val="Footer Char"/>
    <w:basedOn w:val="DefaultParagraphFont"/>
    <w:link w:val="Footer"/>
    <w:uiPriority w:val="99"/>
    <w:qFormat/>
    <w:rsid w:val="00fe0e28"/>
    <w:rPr/>
  </w:style>
  <w:style w:type="character" w:styleId="CMTChar" w:customStyle="1">
    <w:name w:val="CMT Char"/>
    <w:link w:val="CMT"/>
    <w:qFormat/>
    <w:rsid w:val="002d2594"/>
    <w:rPr>
      <w:vanish/>
      <w:color w:val="0000FF"/>
      <w:sz w:val="22"/>
    </w:rPr>
  </w:style>
  <w:style w:type="character" w:styleId="TIPChar" w:customStyle="1">
    <w:name w:val="TIP Char"/>
    <w:link w:val="TIP"/>
    <w:qFormat/>
    <w:rsid w:val="002d2594"/>
    <w:rPr>
      <w:vanish w:val="false"/>
      <w:color w:val="B30838"/>
      <w:sz w:val="22"/>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DR" w:customStyle="1">
    <w:name w:val="HDR"/>
    <w:basedOn w:val="Normal"/>
    <w:qFormat/>
    <w:rsid w:val="00e445d0"/>
    <w:pPr>
      <w:tabs>
        <w:tab w:val="clear" w:pos="360"/>
        <w:tab w:val="center" w:pos="4608" w:leader="none"/>
        <w:tab w:val="right" w:pos="9360" w:leader="none"/>
      </w:tabs>
      <w:suppressAutoHyphens w:val="true"/>
      <w:jc w:val="both"/>
    </w:pPr>
    <w:rPr/>
  </w:style>
  <w:style w:type="paragraph" w:styleId="FTR" w:customStyle="1">
    <w:name w:val="FTR"/>
    <w:basedOn w:val="Normal"/>
    <w:qFormat/>
    <w:rsid w:val="00e445d0"/>
    <w:pPr>
      <w:tabs>
        <w:tab w:val="clear" w:pos="360"/>
        <w:tab w:val="right" w:pos="9360" w:leader="none"/>
      </w:tabs>
      <w:suppressAutoHyphens w:val="true"/>
      <w:jc w:val="both"/>
    </w:pPr>
    <w:rPr/>
  </w:style>
  <w:style w:type="paragraph" w:styleId="SCT" w:customStyle="1">
    <w:name w:val="SCT"/>
    <w:basedOn w:val="Normal"/>
    <w:next w:val="PRT"/>
    <w:qFormat/>
    <w:rsid w:val="00e445d0"/>
    <w:pPr>
      <w:suppressAutoHyphens w:val="true"/>
      <w:spacing w:before="240" w:after="0"/>
      <w:jc w:val="both"/>
    </w:pPr>
    <w:rPr/>
  </w:style>
  <w:style w:type="paragraph" w:styleId="PRT" w:customStyle="1">
    <w:name w:val="PRT"/>
    <w:basedOn w:val="Normal"/>
    <w:next w:val="ART"/>
    <w:qFormat/>
    <w:rsid w:val="00e445d0"/>
    <w:pPr>
      <w:keepNext w:val="true"/>
      <w:numPr>
        <w:ilvl w:val="0"/>
        <w:numId w:val="1"/>
      </w:numPr>
      <w:suppressAutoHyphens w:val="true"/>
      <w:spacing w:before="480" w:after="0"/>
      <w:jc w:val="both"/>
      <w:outlineLvl w:val="0"/>
    </w:pPr>
    <w:rPr/>
  </w:style>
  <w:style w:type="paragraph" w:styleId="SUT" w:customStyle="1">
    <w:name w:val="SUT"/>
    <w:basedOn w:val="Normal"/>
    <w:next w:val="PR1"/>
    <w:qFormat/>
    <w:rsid w:val="00e445d0"/>
    <w:pPr>
      <w:numPr>
        <w:ilvl w:val="1"/>
        <w:numId w:val="1"/>
      </w:numPr>
      <w:suppressAutoHyphens w:val="true"/>
      <w:spacing w:before="240" w:after="0"/>
      <w:jc w:val="both"/>
      <w:outlineLvl w:val="0"/>
    </w:pPr>
    <w:rPr/>
  </w:style>
  <w:style w:type="paragraph" w:styleId="DST" w:customStyle="1">
    <w:name w:val="DST"/>
    <w:basedOn w:val="Normal"/>
    <w:next w:val="PR1"/>
    <w:qFormat/>
    <w:rsid w:val="00e445d0"/>
    <w:pPr>
      <w:numPr>
        <w:ilvl w:val="2"/>
        <w:numId w:val="1"/>
      </w:numPr>
      <w:suppressAutoHyphens w:val="true"/>
      <w:spacing w:before="240" w:after="0"/>
      <w:jc w:val="both"/>
      <w:outlineLvl w:val="0"/>
    </w:pPr>
    <w:rPr/>
  </w:style>
  <w:style w:type="paragraph" w:styleId="ART" w:customStyle="1">
    <w:name w:val="ART"/>
    <w:basedOn w:val="Normal"/>
    <w:next w:val="PR1"/>
    <w:qFormat/>
    <w:rsid w:val="00e445d0"/>
    <w:pPr>
      <w:keepNext w:val="true"/>
      <w:numPr>
        <w:ilvl w:val="3"/>
        <w:numId w:val="1"/>
      </w:numPr>
      <w:suppressAutoHyphens w:val="true"/>
      <w:spacing w:before="480" w:after="0"/>
      <w:jc w:val="both"/>
      <w:outlineLvl w:val="1"/>
    </w:pPr>
    <w:rPr/>
  </w:style>
  <w:style w:type="paragraph" w:styleId="PR1" w:customStyle="1">
    <w:name w:val="PR1"/>
    <w:basedOn w:val="Normal"/>
    <w:qFormat/>
    <w:rsid w:val="00e445d0"/>
    <w:pPr>
      <w:numPr>
        <w:ilvl w:val="4"/>
        <w:numId w:val="1"/>
      </w:numPr>
      <w:suppressAutoHyphens w:val="true"/>
      <w:spacing w:before="240" w:after="0"/>
      <w:jc w:val="both"/>
      <w:outlineLvl w:val="2"/>
    </w:pPr>
    <w:rPr/>
  </w:style>
  <w:style w:type="paragraph" w:styleId="PR2" w:customStyle="1">
    <w:name w:val="PR2"/>
    <w:basedOn w:val="Normal"/>
    <w:qFormat/>
    <w:rsid w:val="00e445d0"/>
    <w:pPr>
      <w:numPr>
        <w:ilvl w:val="5"/>
        <w:numId w:val="1"/>
      </w:numPr>
      <w:suppressAutoHyphens w:val="true"/>
      <w:jc w:val="both"/>
      <w:outlineLvl w:val="3"/>
    </w:pPr>
    <w:rPr/>
  </w:style>
  <w:style w:type="paragraph" w:styleId="PR3" w:customStyle="1">
    <w:name w:val="PR3"/>
    <w:basedOn w:val="Normal"/>
    <w:qFormat/>
    <w:rsid w:val="00e445d0"/>
    <w:pPr>
      <w:numPr>
        <w:ilvl w:val="6"/>
        <w:numId w:val="1"/>
      </w:numPr>
      <w:suppressAutoHyphens w:val="true"/>
      <w:jc w:val="both"/>
      <w:outlineLvl w:val="4"/>
    </w:pPr>
    <w:rPr/>
  </w:style>
  <w:style w:type="paragraph" w:styleId="PR4" w:customStyle="1">
    <w:name w:val="PR4"/>
    <w:basedOn w:val="Normal"/>
    <w:qFormat/>
    <w:rsid w:val="00e445d0"/>
    <w:pPr>
      <w:numPr>
        <w:ilvl w:val="7"/>
        <w:numId w:val="1"/>
      </w:numPr>
      <w:suppressAutoHyphens w:val="true"/>
      <w:jc w:val="both"/>
      <w:outlineLvl w:val="5"/>
    </w:pPr>
    <w:rPr/>
  </w:style>
  <w:style w:type="paragraph" w:styleId="PR5" w:customStyle="1">
    <w:name w:val="PR5"/>
    <w:basedOn w:val="Normal"/>
    <w:qFormat/>
    <w:rsid w:val="00e445d0"/>
    <w:pPr>
      <w:numPr>
        <w:ilvl w:val="8"/>
        <w:numId w:val="1"/>
      </w:numPr>
      <w:suppressAutoHyphens w:val="true"/>
      <w:jc w:val="both"/>
      <w:outlineLvl w:val="6"/>
    </w:pPr>
    <w:rPr/>
  </w:style>
  <w:style w:type="paragraph" w:styleId="TB1" w:customStyle="1">
    <w:name w:val="TB1"/>
    <w:basedOn w:val="Normal"/>
    <w:next w:val="PR1"/>
    <w:qFormat/>
    <w:rsid w:val="00e445d0"/>
    <w:pPr>
      <w:suppressAutoHyphens w:val="true"/>
      <w:spacing w:before="240" w:after="0"/>
      <w:ind w:left="288"/>
      <w:jc w:val="both"/>
    </w:pPr>
    <w:rPr/>
  </w:style>
  <w:style w:type="paragraph" w:styleId="TB2" w:customStyle="1">
    <w:name w:val="TB2"/>
    <w:basedOn w:val="Normal"/>
    <w:next w:val="PR2"/>
    <w:qFormat/>
    <w:rsid w:val="00e445d0"/>
    <w:pPr>
      <w:suppressAutoHyphens w:val="true"/>
      <w:spacing w:before="240" w:after="0"/>
      <w:ind w:left="864"/>
      <w:jc w:val="both"/>
    </w:pPr>
    <w:rPr/>
  </w:style>
  <w:style w:type="paragraph" w:styleId="TB3" w:customStyle="1">
    <w:name w:val="TB3"/>
    <w:basedOn w:val="Normal"/>
    <w:next w:val="PR3"/>
    <w:qFormat/>
    <w:rsid w:val="00e445d0"/>
    <w:pPr>
      <w:suppressAutoHyphens w:val="true"/>
      <w:spacing w:before="240" w:after="0"/>
      <w:ind w:left="1440"/>
      <w:jc w:val="both"/>
    </w:pPr>
    <w:rPr/>
  </w:style>
  <w:style w:type="paragraph" w:styleId="TB4" w:customStyle="1">
    <w:name w:val="TB4"/>
    <w:basedOn w:val="Normal"/>
    <w:next w:val="PR4"/>
    <w:qFormat/>
    <w:rsid w:val="00e445d0"/>
    <w:pPr>
      <w:suppressAutoHyphens w:val="true"/>
      <w:spacing w:before="240" w:after="0"/>
      <w:ind w:left="2016"/>
      <w:jc w:val="both"/>
    </w:pPr>
    <w:rPr/>
  </w:style>
  <w:style w:type="paragraph" w:styleId="TB5" w:customStyle="1">
    <w:name w:val="TB5"/>
    <w:basedOn w:val="Normal"/>
    <w:next w:val="PR5"/>
    <w:qFormat/>
    <w:rsid w:val="00e445d0"/>
    <w:pPr>
      <w:suppressAutoHyphens w:val="true"/>
      <w:spacing w:before="240" w:after="0"/>
      <w:ind w:left="2592"/>
      <w:jc w:val="both"/>
    </w:pPr>
    <w:rPr/>
  </w:style>
  <w:style w:type="paragraph" w:styleId="TF1" w:customStyle="1">
    <w:name w:val="TF1"/>
    <w:basedOn w:val="Normal"/>
    <w:next w:val="TB1"/>
    <w:qFormat/>
    <w:rsid w:val="00e445d0"/>
    <w:pPr>
      <w:suppressAutoHyphens w:val="true"/>
      <w:spacing w:before="240" w:after="0"/>
      <w:ind w:left="288"/>
      <w:jc w:val="both"/>
    </w:pPr>
    <w:rPr/>
  </w:style>
  <w:style w:type="paragraph" w:styleId="TF2" w:customStyle="1">
    <w:name w:val="TF2"/>
    <w:basedOn w:val="Normal"/>
    <w:next w:val="TB2"/>
    <w:qFormat/>
    <w:rsid w:val="00e445d0"/>
    <w:pPr>
      <w:suppressAutoHyphens w:val="true"/>
      <w:spacing w:before="240" w:after="0"/>
      <w:ind w:left="864"/>
      <w:jc w:val="both"/>
    </w:pPr>
    <w:rPr/>
  </w:style>
  <w:style w:type="paragraph" w:styleId="TF3" w:customStyle="1">
    <w:name w:val="TF3"/>
    <w:basedOn w:val="Normal"/>
    <w:next w:val="TB3"/>
    <w:qFormat/>
    <w:rsid w:val="00e445d0"/>
    <w:pPr>
      <w:suppressAutoHyphens w:val="true"/>
      <w:spacing w:before="240" w:after="0"/>
      <w:ind w:left="1440"/>
      <w:jc w:val="both"/>
    </w:pPr>
    <w:rPr/>
  </w:style>
  <w:style w:type="paragraph" w:styleId="TF4" w:customStyle="1">
    <w:name w:val="TF4"/>
    <w:basedOn w:val="Normal"/>
    <w:next w:val="TB4"/>
    <w:qFormat/>
    <w:rsid w:val="00e445d0"/>
    <w:pPr>
      <w:suppressAutoHyphens w:val="true"/>
      <w:spacing w:before="240" w:after="0"/>
      <w:ind w:left="2016"/>
      <w:jc w:val="both"/>
    </w:pPr>
    <w:rPr/>
  </w:style>
  <w:style w:type="paragraph" w:styleId="TF5" w:customStyle="1">
    <w:name w:val="TF5"/>
    <w:basedOn w:val="Normal"/>
    <w:next w:val="TB5"/>
    <w:qFormat/>
    <w:rsid w:val="00e445d0"/>
    <w:pPr>
      <w:suppressAutoHyphens w:val="true"/>
      <w:spacing w:before="240" w:after="0"/>
      <w:ind w:left="2592"/>
      <w:jc w:val="both"/>
    </w:pPr>
    <w:rPr/>
  </w:style>
  <w:style w:type="paragraph" w:styleId="TCH" w:customStyle="1">
    <w:name w:val="TCH"/>
    <w:basedOn w:val="Normal"/>
    <w:qFormat/>
    <w:rsid w:val="00e445d0"/>
    <w:pPr>
      <w:suppressAutoHyphens w:val="true"/>
    </w:pPr>
    <w:rPr/>
  </w:style>
  <w:style w:type="paragraph" w:styleId="TCE" w:customStyle="1">
    <w:name w:val="TCE"/>
    <w:basedOn w:val="Normal"/>
    <w:qFormat/>
    <w:rsid w:val="00e445d0"/>
    <w:pPr>
      <w:suppressAutoHyphens w:val="true"/>
      <w:ind w:hanging="144" w:left="144"/>
    </w:pPr>
    <w:rPr/>
  </w:style>
  <w:style w:type="paragraph" w:styleId="EOS" w:customStyle="1">
    <w:name w:val="EOS"/>
    <w:basedOn w:val="Normal"/>
    <w:qFormat/>
    <w:rsid w:val="00e445d0"/>
    <w:pPr>
      <w:suppressAutoHyphens w:val="true"/>
      <w:spacing w:before="480" w:after="0"/>
      <w:jc w:val="both"/>
    </w:pPr>
    <w:rPr/>
  </w:style>
  <w:style w:type="paragraph" w:styleId="ANT" w:customStyle="1">
    <w:name w:val="ANT"/>
    <w:basedOn w:val="Normal"/>
    <w:qFormat/>
    <w:rsid w:val="00e445d0"/>
    <w:pPr>
      <w:suppressAutoHyphens w:val="true"/>
      <w:spacing w:before="240" w:after="0"/>
      <w:jc w:val="both"/>
    </w:pPr>
    <w:rPr>
      <w:vanish/>
      <w:color w:val="800080"/>
      <w:u w:val="single"/>
    </w:rPr>
  </w:style>
  <w:style w:type="paragraph" w:styleId="CMT" w:customStyle="1">
    <w:name w:val="CMT"/>
    <w:basedOn w:val="Normal"/>
    <w:link w:val="CMTChar"/>
    <w:qFormat/>
    <w:rsid w:val="00e445d0"/>
    <w:pPr>
      <w:suppressAutoHyphens w:val="true"/>
      <w:spacing w:before="240" w:after="0"/>
      <w:jc w:val="both"/>
    </w:pPr>
    <w:rPr>
      <w:vanish/>
      <w:color w:val="0000FF"/>
    </w:rPr>
  </w:style>
  <w:style w:type="paragraph" w:styleId="RJUST" w:customStyle="1">
    <w:name w:val="RJUST"/>
    <w:basedOn w:val="Normal"/>
    <w:qFormat/>
    <w:rsid w:val="00e445d0"/>
    <w:pPr>
      <w:jc w:val="right"/>
    </w:pPr>
    <w:rPr/>
  </w:style>
  <w:style w:type="paragraph" w:styleId="HeaderandFooter">
    <w:name w:val="Header and Footer"/>
    <w:basedOn w:val="Normal"/>
    <w:qFormat/>
    <w:pPr/>
    <w:rPr/>
  </w:style>
  <w:style w:type="paragraph" w:styleId="Header">
    <w:name w:val="header"/>
    <w:basedOn w:val="Normal"/>
    <w:link w:val="HeaderChar"/>
    <w:unhideWhenUsed/>
    <w:rsid w:val="00fe0e28"/>
    <w:pPr>
      <w:tabs>
        <w:tab w:val="clear" w:pos="360"/>
        <w:tab w:val="center" w:pos="4680" w:leader="none"/>
        <w:tab w:val="right" w:pos="9360" w:leader="none"/>
      </w:tabs>
    </w:pPr>
    <w:rPr/>
  </w:style>
  <w:style w:type="paragraph" w:styleId="Footer">
    <w:name w:val="footer"/>
    <w:basedOn w:val="Normal"/>
    <w:link w:val="FooterChar"/>
    <w:uiPriority w:val="99"/>
    <w:unhideWhenUsed/>
    <w:rsid w:val="00fe0e28"/>
    <w:pPr>
      <w:tabs>
        <w:tab w:val="clear" w:pos="360"/>
        <w:tab w:val="center" w:pos="4680" w:leader="none"/>
        <w:tab w:val="right" w:pos="9360" w:leader="none"/>
      </w:tabs>
    </w:pPr>
    <w:rPr/>
  </w:style>
  <w:style w:type="paragraph" w:styleId="TIP" w:customStyle="1">
    <w:name w:val="TIP"/>
    <w:basedOn w:val="Normal"/>
    <w:link w:val="TIPChar"/>
    <w:qFormat/>
    <w:rsid w:val="002d2594"/>
    <w:pPr>
      <w:pBdr>
        <w:top w:val="single" w:sz="4" w:space="3" w:color="000000"/>
        <w:left w:val="single" w:sz="4" w:space="4" w:color="000000"/>
        <w:bottom w:val="single" w:sz="4" w:space="3" w:color="000000"/>
        <w:right w:val="single" w:sz="4" w:space="4" w:color="000000"/>
      </w:pBdr>
      <w:spacing w:before="240" w:after="0"/>
    </w:pPr>
    <w:rPr>
      <w:color w:val="B3083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pecagent.com/LookUp/?ulid=7609&amp;mf=04&amp;mf=95&amp;src=wd&amp;mf=04&amp;src=wd" TargetMode="External"/><Relationship Id="rId3" Type="http://schemas.openxmlformats.org/officeDocument/2006/relationships/hyperlink" Target="http://www.specagent.com/LookUp/?uid=123456853853&amp;mf=04&amp;src=wd" TargetMode="External"/><Relationship Id="rId4" Type="http://schemas.openxmlformats.org/officeDocument/2006/relationships/hyperlink" Target="http://www.specagent.com/LookUp/?uid=123456853854&amp;mf=04&amp;src=wd" TargetMode="External"/><Relationship Id="rId5" Type="http://schemas.openxmlformats.org/officeDocument/2006/relationships/hyperlink" Target="http://www.specagent.com/LookUp/?uid=123456853855&amp;mf=04&amp;src=wd" TargetMode="External"/><Relationship Id="rId6" Type="http://schemas.openxmlformats.org/officeDocument/2006/relationships/hyperlink" Target="http://www.specagent.com/LookUp/?uid=123456853856&amp;mf=04&amp;src=wd" TargetMode="External"/><Relationship Id="rId7" Type="http://schemas.openxmlformats.org/officeDocument/2006/relationships/hyperlink" Target="http://www.specagent.com/LookUp/?uid=123456853857&amp;mf=04&amp;src=wd" TargetMode="External"/><Relationship Id="rId8" Type="http://schemas.openxmlformats.org/officeDocument/2006/relationships/hyperlink" Target="http://www.specagent.com/LookUp/?uid=123456853858&amp;mf=04&amp;src=wd" TargetMode="External"/><Relationship Id="rId9" Type="http://schemas.openxmlformats.org/officeDocument/2006/relationships/hyperlink" Target="http://www.specagent.com/LookUp/?uid=123456853859&amp;mf=04&amp;src=wd" TargetMode="External"/><Relationship Id="rId10" Type="http://schemas.openxmlformats.org/officeDocument/2006/relationships/hyperlink" Target="http://www.specagent.com/LookUp/?uid=123456853860&amp;mf=04&amp;src=wd" TargetMode="External"/><Relationship Id="rId11" Type="http://schemas.openxmlformats.org/officeDocument/2006/relationships/hyperlink" Target="http://www.specagent.com/LookUp/?uid=123456853861&amp;mf=04&amp;src=wd" TargetMode="External"/><Relationship Id="rId12" Type="http://schemas.openxmlformats.org/officeDocument/2006/relationships/hyperlink" Target="http://www.specagent.com/LookUp/?uid=123456853862&amp;mf=04&amp;src=wd" TargetMode="External"/><Relationship Id="rId13" Type="http://schemas.openxmlformats.org/officeDocument/2006/relationships/hyperlink" Target="http://www.specagent.com/LookUp/?uid=123456853863&amp;mf=04&amp;src=wd" TargetMode="External"/><Relationship Id="rId14" Type="http://schemas.openxmlformats.org/officeDocument/2006/relationships/hyperlink" Target="http://www.specagent.com/LookUp/?ulid=7612&amp;mf=04&amp;mf=95&amp;src=wd&amp;mf=04&amp;src=wd" TargetMode="External"/><Relationship Id="rId15" Type="http://schemas.openxmlformats.org/officeDocument/2006/relationships/hyperlink" Target="http://www.specagent.com/LookUp/?uid=123456853864&amp;mf=04&amp;src=wd" TargetMode="External"/><Relationship Id="rId16" Type="http://schemas.openxmlformats.org/officeDocument/2006/relationships/hyperlink" Target="http://www.specagent.com/LookUp/?uid=123456853865&amp;mf=04&amp;src=wd" TargetMode="External"/><Relationship Id="rId17" Type="http://schemas.openxmlformats.org/officeDocument/2006/relationships/hyperlink" Target="http://www.specagent.com/LookUp/?ulid=7613&amp;mf=04&amp;mf=95&amp;src=wd&amp;mf=04&amp;src=wd" TargetMode="External"/><Relationship Id="rId18" Type="http://schemas.openxmlformats.org/officeDocument/2006/relationships/hyperlink" Target="http://www.specagent.com/LookUp/?uid=123456853866&amp;mf=04&amp;src=wd" TargetMode="External"/><Relationship Id="rId19" Type="http://schemas.openxmlformats.org/officeDocument/2006/relationships/hyperlink" Target="http://www.specagent.com/LookUp/?uid=123456853867&amp;mf=04&amp;src=wd" TargetMode="External"/><Relationship Id="rId20" Type="http://schemas.openxmlformats.org/officeDocument/2006/relationships/hyperlink" Target="http://www.specagent.com/LookUp/?uid=123456853868&amp;mf=04&amp;src=wd"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161</TotalTime>
  <Application>LibreOffice/25.8.3.2$Windows_X86_64 LibreOffice_project/8ca8d55c161d602844f5428fa4b58097424e324e</Application>
  <AppVersion>15.0000</AppVersion>
  <Pages>8</Pages>
  <Words>2037</Words>
  <Characters>11433</Characters>
  <CharactersWithSpaces>13193</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2015-03-17T19:14:00Z</dcterms:created>
  <dc:creator>ARCOM, Inc.</dc:creator>
  <dc:description/>
  <cp:keywords>BAS-12345-MS80</cp:keywords>
  <dc:language>en-US</dc:language>
  <cp:lastModifiedBy/>
  <dcterms:modified xsi:type="dcterms:W3CDTF">2025-12-12T12:54:59Z</dcterms:modified>
  <cp:revision>11</cp:revision>
  <dc:subject>GROUNDING AND BONDING FOR COMMUNICATIONS SYSTEMS</dc:subject>
  <dc:title>SECTION 270526 - GROUNDING AND BONDING FOR COMMUNICATIONS SYSTEMS</dc:title>
</cp:coreProperties>
</file>

<file path=docProps/custom.xml><?xml version="1.0" encoding="utf-8"?>
<Properties xmlns="http://schemas.openxmlformats.org/officeDocument/2006/custom-properties" xmlns:vt="http://schemas.openxmlformats.org/officeDocument/2006/docPropsVTypes"/>
</file>